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3E58A1">
      <w:pPr>
        <w:jc w:val="center"/>
        <w:rPr>
          <w:rFonts w:ascii="黑体" w:eastAsia="黑体"/>
          <w:sz w:val="72"/>
          <w:szCs w:val="72"/>
        </w:rPr>
      </w:pPr>
    </w:p>
    <w:p w14:paraId="3D9E000E">
      <w:pPr>
        <w:jc w:val="center"/>
        <w:rPr>
          <w:rFonts w:ascii="黑体" w:eastAsia="黑体"/>
          <w:sz w:val="72"/>
          <w:szCs w:val="72"/>
        </w:rPr>
      </w:pPr>
    </w:p>
    <w:p w14:paraId="18102CCD">
      <w:pPr>
        <w:jc w:val="center"/>
        <w:rPr>
          <w:rFonts w:ascii="黑体" w:eastAsia="黑体"/>
          <w:sz w:val="72"/>
          <w:szCs w:val="72"/>
        </w:rPr>
      </w:pPr>
    </w:p>
    <w:p w14:paraId="6886BBE4">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bookmarkStart w:id="0" w:name="_GoBack"/>
      <w:bookmarkEnd w:id="0"/>
    </w:p>
    <w:p w14:paraId="3D67538A">
      <w:pPr>
        <w:pStyle w:val="2"/>
        <w:rPr>
          <w:rFonts w:hint="eastAsia" w:ascii="黑体" w:hAnsi="Times New Roman" w:eastAsia="黑体" w:cs="Times New Roman"/>
          <w:kern w:val="2"/>
          <w:sz w:val="72"/>
          <w:szCs w:val="72"/>
          <w:lang w:val="en-US" w:eastAsia="zh-CN" w:bidi="ar-SA"/>
        </w:rPr>
      </w:pPr>
    </w:p>
    <w:p w14:paraId="4626C55D">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北京技术市场管理办公室</w:t>
      </w:r>
    </w:p>
    <w:p w14:paraId="0A3E1A79">
      <w:pPr>
        <w:pStyle w:val="2"/>
        <w:jc w:val="center"/>
      </w:pPr>
    </w:p>
    <w:p w14:paraId="6CB5CD10">
      <w:pPr>
        <w:jc w:val="center"/>
        <w:rPr>
          <w:rFonts w:ascii="黑体" w:eastAsia="黑体"/>
          <w:sz w:val="52"/>
          <w:szCs w:val="52"/>
        </w:rPr>
      </w:pPr>
    </w:p>
    <w:p w14:paraId="18DC08E8">
      <w:pPr>
        <w:jc w:val="center"/>
        <w:rPr>
          <w:rFonts w:ascii="黑体" w:eastAsia="黑体"/>
          <w:sz w:val="52"/>
          <w:szCs w:val="52"/>
        </w:rPr>
      </w:pPr>
    </w:p>
    <w:p w14:paraId="45DB50F4">
      <w:pPr>
        <w:jc w:val="center"/>
        <w:rPr>
          <w:rFonts w:ascii="黑体" w:eastAsia="黑体"/>
          <w:sz w:val="52"/>
          <w:szCs w:val="52"/>
        </w:rPr>
      </w:pPr>
    </w:p>
    <w:p w14:paraId="69ECE24F">
      <w:pPr>
        <w:jc w:val="center"/>
        <w:rPr>
          <w:rFonts w:ascii="黑体" w:eastAsia="黑体"/>
          <w:sz w:val="52"/>
          <w:szCs w:val="52"/>
        </w:rPr>
      </w:pPr>
    </w:p>
    <w:p w14:paraId="42E709F6">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21A3F719">
      <w:pPr>
        <w:spacing w:line="500" w:lineRule="exact"/>
        <w:ind w:firstLine="645"/>
        <w:jc w:val="center"/>
        <w:rPr>
          <w:rFonts w:ascii="宋体" w:hAnsi="宋体" w:cs="宋体"/>
          <w:b/>
          <w:bCs/>
          <w:kern w:val="0"/>
          <w:sz w:val="36"/>
          <w:szCs w:val="36"/>
        </w:rPr>
      </w:pPr>
    </w:p>
    <w:p w14:paraId="33C2DDCE">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14:paraId="5CC3BA66">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0ECCBAA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5456246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85E252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6095DDF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14B0DCF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625B760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1D91ACC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74F27D6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6F8F177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203620B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2656C62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014B3DE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56642A31">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14:paraId="0BDEBD67">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14:paraId="413884BD">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14:paraId="7E105ECD">
      <w:pPr>
        <w:tabs>
          <w:tab w:val="center" w:pos="6979"/>
        </w:tabs>
        <w:spacing w:before="156" w:beforeLines="50" w:after="156" w:afterLines="50"/>
        <w:jc w:val="center"/>
        <w:rPr>
          <w:rFonts w:ascii="宋体" w:hAnsi="宋体" w:cs="宋体"/>
          <w:b/>
          <w:bCs/>
          <w:spacing w:val="40"/>
          <w:kern w:val="0"/>
          <w:sz w:val="32"/>
          <w:szCs w:val="32"/>
        </w:rPr>
      </w:pPr>
    </w:p>
    <w:p w14:paraId="5B4FE951">
      <w:pPr>
        <w:tabs>
          <w:tab w:val="center" w:pos="6979"/>
        </w:tabs>
        <w:spacing w:before="156" w:beforeLines="50" w:after="156" w:afterLines="50"/>
        <w:jc w:val="center"/>
        <w:rPr>
          <w:rFonts w:ascii="宋体" w:hAnsi="宋体" w:cs="宋体"/>
          <w:b/>
          <w:bCs/>
          <w:spacing w:val="40"/>
          <w:kern w:val="0"/>
          <w:sz w:val="32"/>
          <w:szCs w:val="32"/>
        </w:rPr>
      </w:pPr>
    </w:p>
    <w:p w14:paraId="17FE716B">
      <w:pPr>
        <w:tabs>
          <w:tab w:val="center" w:pos="6979"/>
        </w:tabs>
        <w:spacing w:before="156" w:beforeLines="50" w:after="156" w:afterLines="50"/>
        <w:jc w:val="center"/>
        <w:rPr>
          <w:rFonts w:ascii="宋体" w:hAnsi="宋体" w:cs="宋体"/>
          <w:b/>
          <w:bCs/>
          <w:spacing w:val="40"/>
          <w:kern w:val="0"/>
          <w:sz w:val="32"/>
          <w:szCs w:val="32"/>
        </w:rPr>
      </w:pPr>
    </w:p>
    <w:p w14:paraId="1C85553C">
      <w:pPr>
        <w:tabs>
          <w:tab w:val="center" w:pos="6979"/>
        </w:tabs>
        <w:spacing w:before="156" w:beforeLines="50" w:after="156" w:afterLines="50"/>
        <w:jc w:val="center"/>
        <w:rPr>
          <w:rFonts w:ascii="宋体" w:hAnsi="宋体" w:cs="宋体"/>
          <w:b/>
          <w:bCs/>
          <w:spacing w:val="40"/>
          <w:kern w:val="0"/>
          <w:sz w:val="32"/>
          <w:szCs w:val="32"/>
        </w:rPr>
      </w:pPr>
    </w:p>
    <w:p w14:paraId="325EBB67">
      <w:pPr>
        <w:tabs>
          <w:tab w:val="center" w:pos="6979"/>
        </w:tabs>
        <w:spacing w:before="156" w:beforeLines="50" w:after="156" w:afterLines="50"/>
        <w:jc w:val="center"/>
        <w:rPr>
          <w:rFonts w:ascii="宋体" w:hAnsi="宋体" w:cs="宋体"/>
          <w:b/>
          <w:bCs/>
          <w:spacing w:val="40"/>
          <w:kern w:val="0"/>
          <w:sz w:val="32"/>
          <w:szCs w:val="32"/>
        </w:rPr>
      </w:pPr>
    </w:p>
    <w:p w14:paraId="05B8C28C">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14:paraId="7F005BB3">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E10BA49">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14:paraId="4E77ADB4">
      <w:pPr>
        <w:tabs>
          <w:tab w:val="center" w:pos="6979"/>
        </w:tabs>
        <w:spacing w:line="580" w:lineRule="exact"/>
        <w:ind w:firstLine="548" w:firstLineChars="196"/>
        <w:rPr>
          <w:rFonts w:hint="eastAsia" w:ascii="黑体" w:eastAsia="黑体"/>
          <w:b/>
          <w:sz w:val="28"/>
          <w:szCs w:val="28"/>
          <w:lang w:eastAsia="zh-CN"/>
        </w:rPr>
      </w:pPr>
      <w:r>
        <w:rPr>
          <w:rFonts w:hint="eastAsia" w:ascii="黑体" w:eastAsia="黑体"/>
          <w:b/>
          <w:sz w:val="28"/>
          <w:szCs w:val="28"/>
        </w:rPr>
        <w:t>一、单位基本情况</w:t>
      </w:r>
    </w:p>
    <w:p w14:paraId="73733FA6">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3DC5190D">
      <w:pPr>
        <w:keepNext w:val="0"/>
        <w:keepLines w:val="0"/>
        <w:pageBreakBefore w:val="0"/>
        <w:widowControl/>
        <w:tabs>
          <w:tab w:val="center" w:pos="6979"/>
        </w:tabs>
        <w:kinsoku/>
        <w:wordWrap/>
        <w:overflowPunct/>
        <w:topLinePunct w:val="0"/>
        <w:autoSpaceDE/>
        <w:autoSpaceDN/>
        <w:bidi w:val="0"/>
        <w:adjustRightInd/>
        <w:snapToGrid/>
        <w:spacing w:line="580" w:lineRule="exact"/>
        <w:ind w:firstLine="548" w:firstLineChars="196"/>
        <w:textAlignment w:val="auto"/>
        <w:rPr>
          <w:rFonts w:hint="eastAsia" w:ascii="仿宋_GB2312" w:eastAsia="仿宋_GB2312"/>
          <w:kern w:val="0"/>
          <w:sz w:val="28"/>
          <w:szCs w:val="28"/>
        </w:rPr>
      </w:pPr>
      <w:r>
        <w:rPr>
          <w:rFonts w:hint="eastAsia" w:ascii="仿宋_GB2312" w:eastAsia="仿宋_GB2312"/>
          <w:kern w:val="0"/>
          <w:sz w:val="28"/>
          <w:szCs w:val="28"/>
        </w:rPr>
        <w:t>北京技术市场管理办公室是中共北京市机构编制委员会批准成立的北京市科委、中关村管委会直属事业单位。主要职责为：承担北京技术市场日常管理监督工作，技术合同认定登记和技术合同登记机构管理，技术市场统计和分析等工作。</w:t>
      </w:r>
    </w:p>
    <w:p w14:paraId="67E00DDF">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48" w:firstLineChars="196"/>
        <w:textAlignment w:val="auto"/>
        <w:rPr>
          <w:rFonts w:hint="default" w:ascii="仿宋_GB2312" w:hAnsi="Times New Roman" w:eastAsia="仿宋_GB2312" w:cs="Times New Roman"/>
          <w:kern w:val="2"/>
          <w:sz w:val="28"/>
          <w:szCs w:val="28"/>
          <w:lang w:val="en-US" w:eastAsia="zh-CN" w:bidi="ar-SA"/>
        </w:rPr>
      </w:pPr>
      <w:r>
        <w:rPr>
          <w:rFonts w:hint="default" w:ascii="仿宋_GB2312" w:hAnsi="Times New Roman" w:eastAsia="仿宋_GB2312" w:cs="Times New Roman"/>
          <w:kern w:val="2"/>
          <w:sz w:val="28"/>
          <w:szCs w:val="28"/>
          <w:lang w:val="en-US" w:eastAsia="zh-CN" w:bidi="ar-SA"/>
        </w:rPr>
        <w:t>内设4个部门，分别</w:t>
      </w:r>
      <w:r>
        <w:rPr>
          <w:rFonts w:hint="eastAsia" w:ascii="仿宋_GB2312" w:eastAsia="仿宋_GB2312" w:cs="Times New Roman"/>
          <w:kern w:val="2"/>
          <w:sz w:val="28"/>
          <w:szCs w:val="28"/>
          <w:lang w:val="en-US" w:eastAsia="zh-CN" w:bidi="ar-SA"/>
        </w:rPr>
        <w:t>为：</w:t>
      </w:r>
      <w:r>
        <w:rPr>
          <w:rFonts w:hint="default" w:ascii="仿宋_GB2312" w:hAnsi="Times New Roman" w:eastAsia="仿宋_GB2312" w:cs="Times New Roman"/>
          <w:kern w:val="2"/>
          <w:sz w:val="28"/>
          <w:szCs w:val="28"/>
          <w:lang w:val="en-US" w:eastAsia="zh-CN" w:bidi="ar-SA"/>
        </w:rPr>
        <w:t>综合管理科、登记管理科、监督管理科和统计监测科。</w:t>
      </w:r>
    </w:p>
    <w:p w14:paraId="14428C0D">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248FC947">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color w:val="000000"/>
          <w:sz w:val="28"/>
          <w:szCs w:val="28"/>
          <w:u w:val="none"/>
          <w:lang w:eastAsia="zh-CN"/>
        </w:rPr>
        <w:t>行政编制</w:t>
      </w:r>
      <w:r>
        <w:rPr>
          <w:rFonts w:hint="eastAsia" w:ascii="仿宋_GB2312" w:eastAsia="仿宋_GB2312"/>
          <w:color w:val="000000"/>
          <w:sz w:val="28"/>
          <w:szCs w:val="28"/>
          <w:u w:val="none"/>
          <w:lang w:val="en-US" w:eastAsia="zh-CN"/>
        </w:rPr>
        <w:t>0人，实有人数0人；</w:t>
      </w:r>
      <w:r>
        <w:rPr>
          <w:rFonts w:hint="eastAsia" w:ascii="仿宋_GB2312" w:eastAsia="仿宋_GB2312"/>
          <w:kern w:val="0"/>
          <w:sz w:val="28"/>
          <w:szCs w:val="28"/>
        </w:rPr>
        <w:t>事业编制</w:t>
      </w:r>
      <w:r>
        <w:rPr>
          <w:rFonts w:hint="eastAsia" w:ascii="仿宋_GB2312" w:eastAsia="仿宋_GB2312"/>
          <w:kern w:val="0"/>
          <w:sz w:val="28"/>
          <w:szCs w:val="28"/>
          <w:lang w:val="en-US" w:eastAsia="zh-CN"/>
        </w:rPr>
        <w:t>21</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18</w:t>
      </w:r>
      <w:r>
        <w:rPr>
          <w:rFonts w:hint="eastAsia" w:ascii="仿宋_GB2312" w:eastAsia="仿宋_GB2312"/>
          <w:kern w:val="0"/>
          <w:sz w:val="28"/>
          <w:szCs w:val="28"/>
        </w:rPr>
        <w:t>人。</w:t>
      </w:r>
    </w:p>
    <w:p w14:paraId="1E7655C2">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39479D7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2368.97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51.19</w:t>
      </w:r>
      <w:r>
        <w:rPr>
          <w:rFonts w:hint="eastAsia" w:ascii="仿宋_GB2312" w:eastAsia="仿宋_GB2312"/>
          <w:sz w:val="28"/>
          <w:szCs w:val="28"/>
        </w:rPr>
        <w:t>万元，下降</w:t>
      </w:r>
      <w:r>
        <w:rPr>
          <w:rFonts w:hint="eastAsia" w:ascii="仿宋_GB2312" w:eastAsia="仿宋_GB2312"/>
          <w:sz w:val="28"/>
          <w:szCs w:val="28"/>
          <w:lang w:val="en-US" w:eastAsia="zh-CN"/>
        </w:rPr>
        <w:t>2.12</w:t>
      </w:r>
      <w:r>
        <w:rPr>
          <w:rFonts w:hint="eastAsia" w:ascii="仿宋_GB2312" w:eastAsia="仿宋_GB2312"/>
          <w:sz w:val="28"/>
          <w:szCs w:val="28"/>
        </w:rPr>
        <w:t>%。</w:t>
      </w:r>
    </w:p>
    <w:p w14:paraId="15A7A8DC">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3B25A4CF">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2095.27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118.10</w:t>
      </w:r>
      <w:r>
        <w:rPr>
          <w:rFonts w:hint="eastAsia" w:ascii="仿宋_GB2312" w:eastAsia="仿宋_GB2312"/>
          <w:sz w:val="28"/>
          <w:szCs w:val="28"/>
        </w:rPr>
        <w:t>万元，下降</w:t>
      </w:r>
      <w:r>
        <w:rPr>
          <w:rFonts w:hint="eastAsia" w:ascii="仿宋_GB2312" w:eastAsia="仿宋_GB2312"/>
          <w:sz w:val="28"/>
          <w:szCs w:val="28"/>
          <w:lang w:val="en-US" w:eastAsia="zh-CN"/>
        </w:rPr>
        <w:t>5.34</w:t>
      </w:r>
      <w:r>
        <w:rPr>
          <w:rFonts w:hint="eastAsia" w:ascii="仿宋_GB2312" w:eastAsia="仿宋_GB2312"/>
          <w:sz w:val="28"/>
          <w:szCs w:val="28"/>
        </w:rPr>
        <w:t>%。</w:t>
      </w:r>
    </w:p>
    <w:p w14:paraId="216865C8">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2095.27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w:t>
      </w:r>
      <w:r>
        <w:rPr>
          <w:rFonts w:ascii="仿宋_GB2312" w:eastAsia="仿宋_GB2312"/>
          <w:sz w:val="28"/>
          <w:szCs w:val="28"/>
        </w:rPr>
        <w:t>2095.27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65E1EA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EABBCF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3FD3BD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2BAAC1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316520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0E05BF7">
      <w:pPr>
        <w:pStyle w:val="3"/>
        <w:jc w:val="center"/>
        <w:rPr>
          <w:rFonts w:hint="eastAsia"/>
        </w:rPr>
      </w:pPr>
      <w:r>
        <w:rPr>
          <w:rFonts w:hint="eastAsia" w:ascii="仿宋_GB2312" w:eastAsia="仿宋_GB2312"/>
          <w:color w:val="000000"/>
          <w:sz w:val="32"/>
        </w:rPr>
        <w:t>图1：收入决算</w:t>
      </w:r>
    </w:p>
    <w:p w14:paraId="50F9E63A">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60A935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5AAB1653">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1795.55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168.93</w:t>
      </w:r>
      <w:r>
        <w:rPr>
          <w:rFonts w:hint="eastAsia" w:ascii="仿宋_GB2312" w:eastAsia="仿宋_GB2312"/>
          <w:sz w:val="28"/>
          <w:szCs w:val="28"/>
        </w:rPr>
        <w:t>万元，下降</w:t>
      </w:r>
      <w:r>
        <w:rPr>
          <w:rFonts w:hint="eastAsia" w:ascii="仿宋_GB2312" w:eastAsia="仿宋_GB2312"/>
          <w:sz w:val="28"/>
          <w:szCs w:val="28"/>
          <w:lang w:val="en-US" w:eastAsia="zh-CN"/>
        </w:rPr>
        <w:t>8.60</w:t>
      </w:r>
      <w:r>
        <w:rPr>
          <w:rFonts w:hint="eastAsia" w:ascii="仿宋_GB2312" w:eastAsia="仿宋_GB2312"/>
          <w:sz w:val="28"/>
          <w:szCs w:val="28"/>
        </w:rPr>
        <w:t>%，其中：基本支出</w:t>
      </w:r>
      <w:r>
        <w:rPr>
          <w:rFonts w:ascii="仿宋_GB2312" w:eastAsia="仿宋_GB2312"/>
          <w:sz w:val="28"/>
          <w:szCs w:val="28"/>
        </w:rPr>
        <w:t>657.86</w:t>
      </w:r>
      <w:r>
        <w:rPr>
          <w:rFonts w:hint="eastAsia" w:ascii="仿宋_GB2312" w:eastAsia="仿宋_GB2312"/>
          <w:sz w:val="28"/>
          <w:szCs w:val="28"/>
        </w:rPr>
        <w:t>万元，占支出合计的</w:t>
      </w:r>
      <w:r>
        <w:rPr>
          <w:rFonts w:hint="eastAsia" w:ascii="仿宋_GB2312" w:eastAsia="仿宋_GB2312"/>
          <w:sz w:val="28"/>
          <w:szCs w:val="28"/>
          <w:lang w:eastAsia="zh-CN"/>
        </w:rPr>
        <w:t>36.6</w:t>
      </w:r>
      <w:r>
        <w:rPr>
          <w:rFonts w:hint="eastAsia" w:ascii="仿宋_GB2312" w:eastAsia="仿宋_GB2312"/>
          <w:sz w:val="28"/>
          <w:szCs w:val="28"/>
          <w:lang w:val="en-US" w:eastAsia="zh-CN"/>
        </w:rPr>
        <w:t>4</w:t>
      </w:r>
      <w:r>
        <w:rPr>
          <w:rFonts w:hint="eastAsia" w:ascii="仿宋_GB2312" w:eastAsia="仿宋_GB2312"/>
          <w:sz w:val="28"/>
          <w:szCs w:val="28"/>
        </w:rPr>
        <w:t>%；项目支出</w:t>
      </w:r>
      <w:r>
        <w:rPr>
          <w:rFonts w:ascii="仿宋_GB2312" w:eastAsia="仿宋_GB2312"/>
          <w:sz w:val="28"/>
          <w:szCs w:val="28"/>
        </w:rPr>
        <w:t>1137.69</w:t>
      </w:r>
      <w:r>
        <w:rPr>
          <w:rFonts w:hint="eastAsia" w:ascii="仿宋_GB2312" w:eastAsia="仿宋_GB2312"/>
          <w:sz w:val="28"/>
          <w:szCs w:val="28"/>
        </w:rPr>
        <w:t>万元，占支出合计的</w:t>
      </w:r>
      <w:r>
        <w:rPr>
          <w:rFonts w:hint="eastAsia" w:ascii="仿宋_GB2312" w:eastAsia="仿宋_GB2312"/>
          <w:sz w:val="28"/>
          <w:szCs w:val="28"/>
          <w:lang w:eastAsia="zh-CN"/>
        </w:rPr>
        <w:t>63.36</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181E1C8D">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67525EBA">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E70E913">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08D8F59">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2095.27</w:t>
      </w:r>
      <w:r>
        <w:rPr>
          <w:rFonts w:hint="eastAsia" w:ascii="仿宋_GB2312" w:eastAsia="仿宋_GB2312"/>
          <w:sz w:val="28"/>
          <w:szCs w:val="28"/>
        </w:rPr>
        <w:t>万元，比上年减少118.10万元，下降</w:t>
      </w:r>
      <w:r>
        <w:rPr>
          <w:rFonts w:hint="eastAsia" w:ascii="仿宋_GB2312" w:eastAsia="仿宋_GB2312"/>
          <w:sz w:val="28"/>
          <w:szCs w:val="28"/>
          <w:lang w:val="en-US" w:eastAsia="zh-CN"/>
        </w:rPr>
        <w:t>5.34</w:t>
      </w:r>
      <w:r>
        <w:rPr>
          <w:rFonts w:hint="eastAsia" w:ascii="仿宋_GB2312" w:eastAsia="仿宋_GB2312"/>
          <w:sz w:val="28"/>
          <w:szCs w:val="28"/>
        </w:rPr>
        <w:t>%。主要原因：根据工作安排，减少“技术市场发展专项”项目经费。</w:t>
      </w:r>
    </w:p>
    <w:p w14:paraId="2732E943">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1C811F3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56119592">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1768.87</w:t>
      </w:r>
      <w:r>
        <w:rPr>
          <w:rFonts w:hint="eastAsia" w:ascii="仿宋_GB2312" w:eastAsia="仿宋_GB2312"/>
          <w:sz w:val="28"/>
          <w:szCs w:val="28"/>
        </w:rPr>
        <w:t>万元，主要用于以下方面（按大类）：教育支出</w:t>
      </w:r>
      <w:r>
        <w:rPr>
          <w:rFonts w:hint="eastAsia" w:ascii="仿宋_GB2312" w:eastAsia="仿宋_GB2312"/>
          <w:sz w:val="28"/>
          <w:szCs w:val="28"/>
          <w:lang w:val="en-US" w:eastAsia="zh-CN"/>
        </w:rPr>
        <w:t>1.04</w:t>
      </w:r>
      <w:r>
        <w:rPr>
          <w:rFonts w:hint="eastAsia" w:ascii="仿宋_GB2312" w:eastAsia="仿宋_GB2312"/>
          <w:sz w:val="28"/>
          <w:szCs w:val="28"/>
        </w:rPr>
        <w:t>万元，占本年财政拨款支出0.0</w:t>
      </w:r>
      <w:r>
        <w:rPr>
          <w:rFonts w:hint="eastAsia" w:ascii="仿宋_GB2312" w:eastAsia="仿宋_GB2312"/>
          <w:sz w:val="28"/>
          <w:szCs w:val="28"/>
          <w:lang w:val="en-US" w:eastAsia="zh-CN"/>
        </w:rPr>
        <w:t>6</w:t>
      </w:r>
      <w:r>
        <w:rPr>
          <w:rFonts w:hint="eastAsia" w:ascii="仿宋_GB2312" w:eastAsia="仿宋_GB2312"/>
          <w:sz w:val="28"/>
          <w:szCs w:val="28"/>
        </w:rPr>
        <w:t>%；科学技术支出</w:t>
      </w:r>
      <w:r>
        <w:rPr>
          <w:rFonts w:hint="eastAsia" w:ascii="仿宋_GB2312" w:eastAsia="仿宋_GB2312"/>
          <w:sz w:val="28"/>
          <w:szCs w:val="28"/>
          <w:lang w:val="en-US" w:eastAsia="zh-CN"/>
        </w:rPr>
        <w:t>1732.12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97.92</w:t>
      </w:r>
      <w:r>
        <w:rPr>
          <w:rFonts w:hint="eastAsia" w:ascii="仿宋_GB2312" w:eastAsia="仿宋_GB2312"/>
          <w:sz w:val="28"/>
          <w:szCs w:val="28"/>
        </w:rPr>
        <w:t>%；社会保障和就业支出</w:t>
      </w:r>
      <w:r>
        <w:rPr>
          <w:rFonts w:hint="eastAsia" w:ascii="仿宋_GB2312" w:eastAsia="仿宋_GB2312"/>
          <w:sz w:val="28"/>
          <w:szCs w:val="28"/>
          <w:lang w:val="en-US" w:eastAsia="zh-CN"/>
        </w:rPr>
        <w:t>35.72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2.02</w:t>
      </w:r>
      <w:r>
        <w:rPr>
          <w:rFonts w:hint="eastAsia" w:ascii="仿宋_GB2312" w:eastAsia="仿宋_GB2312"/>
          <w:sz w:val="28"/>
          <w:szCs w:val="28"/>
        </w:rPr>
        <w:t>%。</w:t>
      </w:r>
    </w:p>
    <w:p w14:paraId="2EB6247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FC9485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1.04</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val="en-US" w:eastAsia="zh-CN"/>
        </w:rPr>
        <w:t>持平</w:t>
      </w:r>
      <w:r>
        <w:rPr>
          <w:rFonts w:hint="eastAsia" w:ascii="仿宋_GB2312" w:eastAsia="仿宋_GB2312"/>
          <w:sz w:val="28"/>
          <w:szCs w:val="28"/>
        </w:rPr>
        <w:t>。其中：</w:t>
      </w:r>
    </w:p>
    <w:p w14:paraId="6C40C21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1.04</w:t>
      </w:r>
      <w:r>
        <w:rPr>
          <w:rFonts w:hint="eastAsia" w:ascii="仿宋_GB2312" w:eastAsia="仿宋_GB2312"/>
          <w:sz w:val="28"/>
          <w:szCs w:val="28"/>
        </w:rPr>
        <w:t>万元，与2023年度年初预算持平。</w:t>
      </w:r>
    </w:p>
    <w:p w14:paraId="2B84BC3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2、“科学技术支出”（类）202</w:t>
      </w:r>
      <w:r>
        <w:rPr>
          <w:rFonts w:hint="eastAsia" w:ascii="仿宋_GB2312" w:eastAsia="仿宋_GB2312"/>
          <w:sz w:val="28"/>
          <w:szCs w:val="28"/>
          <w:lang w:val="en-US" w:eastAsia="zh-CN"/>
        </w:rPr>
        <w:t>3</w:t>
      </w:r>
      <w:r>
        <w:rPr>
          <w:rFonts w:hint="eastAsia" w:ascii="仿宋_GB2312" w:eastAsia="仿宋_GB2312"/>
          <w:sz w:val="28"/>
          <w:szCs w:val="28"/>
        </w:rPr>
        <w:t>年度决算1732.12万元，比202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217.20</w:t>
      </w:r>
      <w:r>
        <w:rPr>
          <w:rFonts w:hint="eastAsia" w:ascii="仿宋_GB2312" w:eastAsia="仿宋_GB2312"/>
          <w:sz w:val="28"/>
          <w:szCs w:val="28"/>
        </w:rPr>
        <w:t>万元，下降</w:t>
      </w:r>
      <w:r>
        <w:rPr>
          <w:rFonts w:hint="eastAsia" w:ascii="仿宋_GB2312" w:eastAsia="仿宋_GB2312"/>
          <w:sz w:val="28"/>
          <w:szCs w:val="28"/>
          <w:lang w:val="en-US" w:eastAsia="zh-CN"/>
        </w:rPr>
        <w:t>11.14</w:t>
      </w:r>
      <w:r>
        <w:rPr>
          <w:rFonts w:hint="eastAsia" w:ascii="仿宋_GB2312" w:eastAsia="仿宋_GB2312"/>
          <w:sz w:val="28"/>
          <w:szCs w:val="28"/>
        </w:rPr>
        <w:t>%。其中：</w:t>
      </w:r>
    </w:p>
    <w:p w14:paraId="2563D0C0">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“科学技术管理事务”（款）202</w:t>
      </w:r>
      <w:r>
        <w:rPr>
          <w:rFonts w:hint="eastAsia" w:ascii="仿宋_GB2312" w:eastAsia="仿宋_GB2312"/>
          <w:sz w:val="28"/>
          <w:szCs w:val="28"/>
          <w:lang w:val="en-US" w:eastAsia="zh-CN"/>
        </w:rPr>
        <w:t>3</w:t>
      </w:r>
      <w:r>
        <w:rPr>
          <w:rFonts w:hint="eastAsia" w:ascii="仿宋_GB2312" w:eastAsia="仿宋_GB2312"/>
          <w:sz w:val="28"/>
          <w:szCs w:val="28"/>
        </w:rPr>
        <w:t>年度决算6</w:t>
      </w:r>
      <w:r>
        <w:rPr>
          <w:rFonts w:hint="eastAsia" w:ascii="仿宋_GB2312" w:eastAsia="仿宋_GB2312"/>
          <w:sz w:val="28"/>
          <w:szCs w:val="28"/>
          <w:lang w:val="en-US" w:eastAsia="zh-CN"/>
        </w:rPr>
        <w:t>14.35万</w:t>
      </w:r>
      <w:r>
        <w:rPr>
          <w:rFonts w:hint="eastAsia" w:ascii="仿宋_GB2312" w:eastAsia="仿宋_GB2312"/>
          <w:sz w:val="28"/>
          <w:szCs w:val="28"/>
        </w:rPr>
        <w:t>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169.79</w:t>
      </w:r>
      <w:r>
        <w:rPr>
          <w:rFonts w:hint="eastAsia" w:ascii="仿宋_GB2312" w:eastAsia="仿宋_GB2312"/>
          <w:sz w:val="28"/>
          <w:szCs w:val="28"/>
        </w:rPr>
        <w:t>万元，下降</w:t>
      </w:r>
      <w:r>
        <w:rPr>
          <w:rFonts w:hint="eastAsia" w:ascii="仿宋_GB2312" w:eastAsia="仿宋_GB2312"/>
          <w:sz w:val="28"/>
          <w:szCs w:val="28"/>
          <w:lang w:val="en-US" w:eastAsia="zh-CN"/>
        </w:rPr>
        <w:t>21.65</w:t>
      </w:r>
      <w:r>
        <w:rPr>
          <w:rFonts w:hint="eastAsia" w:ascii="仿宋_GB2312" w:eastAsia="仿宋_GB2312"/>
          <w:sz w:val="28"/>
          <w:szCs w:val="28"/>
        </w:rPr>
        <w:t>%。</w:t>
      </w:r>
      <w:r>
        <w:rPr>
          <w:rFonts w:hint="eastAsia" w:ascii="仿宋_GB2312" w:eastAsia="仿宋_GB2312"/>
          <w:sz w:val="28"/>
          <w:szCs w:val="28"/>
          <w:highlight w:val="none"/>
        </w:rPr>
        <w:t>主要原因：人员招录实际情况较年初计划有调整，人员经费相应调整。</w:t>
      </w:r>
    </w:p>
    <w:p w14:paraId="5DFFB2E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“科技条件与服务”（款）202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1117.77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47.41</w:t>
      </w:r>
      <w:r>
        <w:rPr>
          <w:rFonts w:hint="eastAsia" w:ascii="仿宋_GB2312" w:eastAsia="仿宋_GB2312"/>
          <w:sz w:val="28"/>
          <w:szCs w:val="28"/>
        </w:rPr>
        <w:t>万元，下降</w:t>
      </w:r>
      <w:r>
        <w:rPr>
          <w:rFonts w:hint="eastAsia" w:ascii="仿宋_GB2312" w:eastAsia="仿宋_GB2312"/>
          <w:sz w:val="28"/>
          <w:szCs w:val="28"/>
          <w:lang w:val="en-US" w:eastAsia="zh-CN"/>
        </w:rPr>
        <w:t>4.07</w:t>
      </w:r>
      <w:r>
        <w:rPr>
          <w:rFonts w:hint="eastAsia" w:ascii="仿宋_GB2312" w:eastAsia="仿宋_GB2312"/>
          <w:sz w:val="28"/>
          <w:szCs w:val="28"/>
        </w:rPr>
        <w:t>%。主要原因：根据工作安排，调整技术市场发展专项相关工作内容，相应减少项目支出。</w:t>
      </w:r>
    </w:p>
    <w:p w14:paraId="52D21F9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3、“社会保障和就业支出”（类）202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年度决算35.72万元，比202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6.44</w:t>
      </w:r>
      <w:r>
        <w:rPr>
          <w:rFonts w:hint="eastAsia" w:ascii="仿宋_GB2312" w:eastAsia="仿宋_GB2312"/>
          <w:sz w:val="28"/>
          <w:szCs w:val="28"/>
        </w:rPr>
        <w:t>万元，下降</w:t>
      </w:r>
      <w:r>
        <w:rPr>
          <w:rFonts w:hint="eastAsia" w:ascii="仿宋_GB2312" w:eastAsia="仿宋_GB2312"/>
          <w:sz w:val="28"/>
          <w:szCs w:val="28"/>
          <w:lang w:val="en-US" w:eastAsia="zh-CN"/>
        </w:rPr>
        <w:t>15.28</w:t>
      </w:r>
      <w:r>
        <w:rPr>
          <w:rFonts w:hint="eastAsia" w:ascii="仿宋_GB2312" w:eastAsia="仿宋_GB2312"/>
          <w:sz w:val="28"/>
          <w:szCs w:val="28"/>
        </w:rPr>
        <w:t>%。其中：</w:t>
      </w:r>
    </w:p>
    <w:p w14:paraId="65E71B4D">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3</w:t>
      </w:r>
      <w:r>
        <w:rPr>
          <w:rFonts w:hint="eastAsia" w:ascii="仿宋_GB2312" w:eastAsia="仿宋_GB2312"/>
          <w:sz w:val="28"/>
          <w:szCs w:val="28"/>
        </w:rPr>
        <w:t>年度决算35.72万元，比202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年度年初预算减少6.44万元，下降15.28%。主要原因：由于人员变动等因素，减少相关经费支出</w:t>
      </w:r>
      <w:r>
        <w:rPr>
          <w:rFonts w:hint="eastAsia" w:ascii="仿宋_GB2312" w:eastAsia="仿宋_GB2312"/>
          <w:sz w:val="28"/>
          <w:szCs w:val="28"/>
          <w:lang w:eastAsia="zh-CN"/>
        </w:rPr>
        <w:t>。</w:t>
      </w:r>
    </w:p>
    <w:p w14:paraId="238398BD">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5EE5F3D4">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本年度无此项支出。</w:t>
      </w:r>
    </w:p>
    <w:p w14:paraId="1E76CE93">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6041FCA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4ADF7C18">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5A7E66AE">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646.4</w:t>
      </w:r>
      <w:r>
        <w:rPr>
          <w:rFonts w:hint="eastAsia" w:ascii="仿宋_GB2312" w:eastAsia="仿宋_GB2312"/>
          <w:sz w:val="28"/>
          <w:szCs w:val="28"/>
          <w:lang w:val="en-US" w:eastAsia="zh-CN"/>
        </w:rPr>
        <w:t>0</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29539A5">
      <w:pPr>
        <w:tabs>
          <w:tab w:val="center" w:pos="6979"/>
        </w:tabs>
        <w:spacing w:line="580" w:lineRule="exact"/>
        <w:ind w:firstLine="548" w:firstLineChars="196"/>
        <w:rPr>
          <w:rFonts w:ascii="黑体" w:eastAsia="黑体"/>
          <w:b/>
          <w:sz w:val="28"/>
          <w:szCs w:val="28"/>
        </w:rPr>
      </w:pPr>
    </w:p>
    <w:p w14:paraId="7C872F31">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cs="宋体"/>
          <w:b/>
          <w:bCs/>
          <w:spacing w:val="40"/>
          <w:kern w:val="0"/>
          <w:sz w:val="32"/>
          <w:szCs w:val="32"/>
          <w:lang w:val="en-US" w:eastAsia="zh-CN"/>
        </w:rPr>
        <w:t xml:space="preserve"> </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14:paraId="1EC6DE31">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35BB6596">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“三公”经费包括本单位所属1个参照公务员法管理事业单位。202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0.98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2.57</w:t>
      </w:r>
      <w:r>
        <w:rPr>
          <w:rFonts w:hint="eastAsia" w:ascii="仿宋_GB2312" w:eastAsia="仿宋_GB2312"/>
          <w:sz w:val="28"/>
          <w:szCs w:val="28"/>
        </w:rPr>
        <w:t>万元减少</w:t>
      </w:r>
      <w:r>
        <w:rPr>
          <w:rFonts w:ascii="仿宋_GB2312" w:eastAsia="仿宋_GB2312"/>
          <w:sz w:val="28"/>
          <w:szCs w:val="28"/>
        </w:rPr>
        <w:t>1.58</w:t>
      </w:r>
      <w:r>
        <w:rPr>
          <w:rFonts w:hint="eastAsia" w:ascii="仿宋_GB2312" w:eastAsia="仿宋_GB2312"/>
          <w:sz w:val="28"/>
          <w:szCs w:val="28"/>
        </w:rPr>
        <w:t>万元。其中：</w:t>
      </w:r>
    </w:p>
    <w:p w14:paraId="2E09C436">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1.因公出国（境）费用。本年度无此项支出。</w:t>
      </w:r>
    </w:p>
    <w:p w14:paraId="2438258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0.05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0.34</w:t>
      </w:r>
      <w:r>
        <w:rPr>
          <w:rFonts w:hint="eastAsia" w:ascii="仿宋_GB2312" w:eastAsia="仿宋_GB2312"/>
          <w:sz w:val="28"/>
          <w:szCs w:val="28"/>
        </w:rPr>
        <w:t>万元减少</w:t>
      </w:r>
      <w:r>
        <w:rPr>
          <w:rFonts w:ascii="仿宋_GB2312" w:eastAsia="仿宋_GB2312"/>
          <w:sz w:val="28"/>
          <w:szCs w:val="28"/>
        </w:rPr>
        <w:t>0</w:t>
      </w:r>
      <w:r>
        <w:rPr>
          <w:rFonts w:hint="eastAsia" w:ascii="仿宋_GB2312" w:eastAsia="仿宋_GB2312"/>
          <w:sz w:val="28"/>
          <w:szCs w:val="28"/>
          <w:lang w:val="en-US" w:eastAsia="zh-CN"/>
        </w:rPr>
        <w:t>.29</w:t>
      </w:r>
      <w:r>
        <w:rPr>
          <w:rFonts w:hint="eastAsia" w:ascii="仿宋_GB2312" w:eastAsia="仿宋_GB2312"/>
          <w:sz w:val="28"/>
          <w:szCs w:val="28"/>
        </w:rPr>
        <w:t>万元。主要原因：落实政府“过紧日子”要求，进一步压减一般性支出。202</w:t>
      </w:r>
      <w:r>
        <w:rPr>
          <w:rFonts w:hint="eastAsia" w:ascii="仿宋_GB2312" w:eastAsia="仿宋_GB2312"/>
          <w:sz w:val="28"/>
          <w:szCs w:val="28"/>
          <w:lang w:val="en-US" w:eastAsia="zh-CN"/>
        </w:rPr>
        <w:t>3</w:t>
      </w:r>
      <w:r>
        <w:rPr>
          <w:rFonts w:hint="eastAsia" w:ascii="仿宋_GB2312" w:eastAsia="仿宋_GB2312"/>
          <w:sz w:val="28"/>
          <w:szCs w:val="28"/>
        </w:rPr>
        <w:t>年度公务接待费主要用于</w:t>
      </w:r>
      <w:r>
        <w:rPr>
          <w:rFonts w:hint="eastAsia" w:ascii="仿宋_GB2312" w:eastAsia="仿宋_GB2312"/>
          <w:sz w:val="28"/>
          <w:szCs w:val="28"/>
          <w:lang w:val="en-US" w:eastAsia="zh-CN"/>
        </w:rPr>
        <w:t>接待外单位调研交流工作</w:t>
      </w:r>
      <w:r>
        <w:rPr>
          <w:rFonts w:hint="eastAsia" w:ascii="仿宋_GB2312" w:eastAsia="仿宋_GB2312"/>
          <w:sz w:val="28"/>
          <w:szCs w:val="28"/>
        </w:rPr>
        <w:t>。公务接待</w:t>
      </w:r>
      <w:r>
        <w:rPr>
          <w:rFonts w:hint="eastAsia" w:ascii="仿宋_GB2312" w:eastAsia="仿宋_GB2312"/>
          <w:sz w:val="28"/>
          <w:szCs w:val="28"/>
          <w:lang w:val="en-US" w:eastAsia="zh-CN"/>
        </w:rPr>
        <w:t>1</w:t>
      </w:r>
      <w:r>
        <w:rPr>
          <w:rFonts w:hint="eastAsia" w:ascii="仿宋_GB2312" w:eastAsia="仿宋_GB2312"/>
          <w:sz w:val="28"/>
          <w:szCs w:val="28"/>
        </w:rPr>
        <w:t>批次，公务接待</w:t>
      </w:r>
      <w:r>
        <w:rPr>
          <w:rFonts w:hint="eastAsia" w:ascii="仿宋_GB2312" w:eastAsia="仿宋_GB2312"/>
          <w:sz w:val="28"/>
          <w:szCs w:val="28"/>
          <w:lang w:val="en-US" w:eastAsia="zh-CN"/>
        </w:rPr>
        <w:t>5</w:t>
      </w:r>
      <w:r>
        <w:rPr>
          <w:rFonts w:hint="eastAsia" w:ascii="仿宋_GB2312" w:eastAsia="仿宋_GB2312"/>
          <w:sz w:val="28"/>
          <w:szCs w:val="28"/>
        </w:rPr>
        <w:t>人次。</w:t>
      </w:r>
    </w:p>
    <w:p w14:paraId="1AA9CBE9">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lang w:val="en-US" w:eastAsia="zh-CN"/>
        </w:rPr>
        <w:t>.93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2.22</w:t>
      </w:r>
      <w:r>
        <w:rPr>
          <w:rFonts w:hint="eastAsia" w:ascii="仿宋_GB2312" w:eastAsia="仿宋_GB2312"/>
          <w:sz w:val="28"/>
          <w:szCs w:val="28"/>
        </w:rPr>
        <w:t>万元减少</w:t>
      </w:r>
      <w:r>
        <w:rPr>
          <w:rFonts w:hint="eastAsia" w:ascii="仿宋_GB2312" w:eastAsia="仿宋_GB2312"/>
          <w:sz w:val="28"/>
          <w:szCs w:val="28"/>
          <w:lang w:val="en-US" w:eastAsia="zh-CN"/>
        </w:rPr>
        <w:t>1.29</w:t>
      </w:r>
      <w:r>
        <w:rPr>
          <w:rFonts w:hint="eastAsia" w:ascii="仿宋_GB2312" w:eastAsia="仿宋_GB2312"/>
          <w:sz w:val="28"/>
          <w:szCs w:val="28"/>
        </w:rPr>
        <w:t>万元。</w:t>
      </w:r>
    </w:p>
    <w:p w14:paraId="0FB8C6FC">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0.93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2.22</w:t>
      </w:r>
      <w:r>
        <w:rPr>
          <w:rFonts w:hint="eastAsia" w:ascii="仿宋_GB2312" w:eastAsia="仿宋_GB2312"/>
          <w:sz w:val="28"/>
          <w:szCs w:val="28"/>
        </w:rPr>
        <w:t>万元减少</w:t>
      </w:r>
      <w:r>
        <w:rPr>
          <w:rFonts w:hint="eastAsia" w:ascii="仿宋_GB2312" w:eastAsia="仿宋_GB2312"/>
          <w:sz w:val="28"/>
          <w:szCs w:val="28"/>
          <w:highlight w:val="none"/>
          <w:lang w:val="en-US" w:eastAsia="zh-CN"/>
        </w:rPr>
        <w:t>1.29</w:t>
      </w:r>
      <w:r>
        <w:rPr>
          <w:rFonts w:hint="eastAsia" w:ascii="仿宋_GB2312" w:eastAsia="仿宋_GB2312"/>
          <w:sz w:val="28"/>
          <w:szCs w:val="28"/>
        </w:rPr>
        <w:t>万元，主要原因：落实政府“过紧日子”要求，进一步压减一般性支出。202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0.2</w:t>
      </w:r>
      <w:r>
        <w:rPr>
          <w:rFonts w:hint="eastAsia" w:ascii="仿宋_GB2312" w:eastAsia="仿宋_GB2312"/>
          <w:sz w:val="28"/>
          <w:szCs w:val="28"/>
          <w:highlight w:val="none"/>
          <w:lang w:val="en-US" w:eastAsia="zh-CN"/>
        </w:rPr>
        <w:t>0</w:t>
      </w:r>
      <w:r>
        <w:rPr>
          <w:rFonts w:hint="eastAsia" w:ascii="仿宋_GB2312" w:eastAsia="仿宋_GB2312"/>
          <w:sz w:val="28"/>
          <w:szCs w:val="28"/>
        </w:rPr>
        <w:t>万元，公务用车维修</w:t>
      </w:r>
      <w:r>
        <w:rPr>
          <w:rFonts w:ascii="仿宋_GB2312" w:eastAsia="仿宋_GB2312"/>
          <w:sz w:val="28"/>
          <w:szCs w:val="28"/>
          <w:highlight w:val="none"/>
        </w:rPr>
        <w:t>0.36</w:t>
      </w:r>
      <w:r>
        <w:rPr>
          <w:rFonts w:hint="eastAsia" w:ascii="仿宋_GB2312" w:eastAsia="仿宋_GB2312"/>
          <w:sz w:val="28"/>
          <w:szCs w:val="28"/>
        </w:rPr>
        <w:t>万元，公务用车保险</w:t>
      </w:r>
      <w:r>
        <w:rPr>
          <w:rFonts w:ascii="仿宋_GB2312" w:eastAsia="仿宋_GB2312"/>
          <w:sz w:val="28"/>
          <w:szCs w:val="28"/>
          <w:highlight w:val="none"/>
        </w:rPr>
        <w:t>0.21</w:t>
      </w:r>
      <w:r>
        <w:rPr>
          <w:rFonts w:hint="eastAsia" w:ascii="仿宋_GB2312" w:eastAsia="仿宋_GB2312"/>
          <w:sz w:val="28"/>
          <w:szCs w:val="28"/>
        </w:rPr>
        <w:t>万元，公务用车其他支出</w:t>
      </w:r>
      <w:r>
        <w:rPr>
          <w:rFonts w:ascii="仿宋_GB2312" w:eastAsia="仿宋_GB2312"/>
          <w:sz w:val="28"/>
          <w:szCs w:val="28"/>
          <w:highlight w:val="none"/>
        </w:rPr>
        <w:t>0.17</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1</w:t>
      </w:r>
      <w:r>
        <w:rPr>
          <w:rFonts w:hint="eastAsia" w:ascii="仿宋_GB2312" w:eastAsia="仿宋_GB2312"/>
          <w:sz w:val="28"/>
          <w:szCs w:val="28"/>
        </w:rPr>
        <w:t>辆，车均运行维护费</w:t>
      </w:r>
      <w:r>
        <w:rPr>
          <w:rFonts w:hint="eastAsia" w:ascii="仿宋_GB2312" w:eastAsia="仿宋_GB2312"/>
          <w:sz w:val="28"/>
          <w:szCs w:val="28"/>
          <w:lang w:val="en-US" w:eastAsia="zh-CN"/>
        </w:rPr>
        <w:t>0.93</w:t>
      </w:r>
      <w:r>
        <w:rPr>
          <w:rFonts w:hint="eastAsia" w:ascii="仿宋_GB2312" w:eastAsia="仿宋_GB2312"/>
          <w:sz w:val="28"/>
          <w:szCs w:val="28"/>
        </w:rPr>
        <w:t>万元。</w:t>
      </w:r>
    </w:p>
    <w:p w14:paraId="3C371C3B">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00B5C2D6">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年度使用财政拨款安排的基本支出中的日常公用经费支出，合计56.51</w:t>
      </w:r>
      <w:r>
        <w:rPr>
          <w:rFonts w:hint="eastAsia" w:ascii="仿宋_GB2312" w:eastAsia="仿宋_GB2312"/>
          <w:sz w:val="28"/>
          <w:szCs w:val="28"/>
          <w:lang w:val="en-US" w:eastAsia="zh-CN"/>
        </w:rPr>
        <w:t>万元</w:t>
      </w:r>
      <w:r>
        <w:rPr>
          <w:rFonts w:hint="eastAsia" w:ascii="仿宋_GB2312" w:eastAsia="仿宋_GB2312"/>
          <w:sz w:val="28"/>
          <w:szCs w:val="28"/>
        </w:rPr>
        <w:t>，比上年减少5.81万元，减少原因：四季度单位搬迁至城市副中心，相关公用费用支出减少。</w:t>
      </w:r>
    </w:p>
    <w:p w14:paraId="770BBBF7">
      <w:pPr>
        <w:ind w:left="540"/>
        <w:rPr>
          <w:rFonts w:hint="eastAsia" w:ascii="黑体" w:eastAsia="黑体"/>
          <w:sz w:val="28"/>
          <w:szCs w:val="28"/>
        </w:rPr>
      </w:pPr>
      <w:r>
        <w:rPr>
          <w:rFonts w:hint="eastAsia" w:ascii="黑体" w:eastAsia="黑体"/>
          <w:sz w:val="28"/>
          <w:szCs w:val="28"/>
        </w:rPr>
        <w:t>三、政府采购支出情况</w:t>
      </w:r>
    </w:p>
    <w:p w14:paraId="5466D62F">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374.77</w:t>
      </w:r>
      <w:r>
        <w:rPr>
          <w:rFonts w:hint="eastAsia" w:ascii="仿宋_GB2312" w:eastAsia="仿宋_GB2312"/>
          <w:sz w:val="28"/>
          <w:szCs w:val="28"/>
        </w:rPr>
        <w:t>万元，其中：政府采购货物支出</w:t>
      </w:r>
      <w:r>
        <w:rPr>
          <w:rFonts w:ascii="仿宋_GB2312" w:eastAsia="仿宋_GB2312"/>
          <w:sz w:val="28"/>
          <w:szCs w:val="28"/>
        </w:rPr>
        <w:t>2.95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371.82</w:t>
      </w:r>
      <w:r>
        <w:rPr>
          <w:rFonts w:hint="eastAsia" w:ascii="仿宋_GB2312" w:eastAsia="仿宋_GB2312"/>
          <w:sz w:val="28"/>
          <w:szCs w:val="28"/>
        </w:rPr>
        <w:t>万元。授予中小企业合同金额</w:t>
      </w:r>
      <w:r>
        <w:rPr>
          <w:rFonts w:ascii="仿宋_GB2312" w:eastAsia="仿宋_GB2312"/>
          <w:sz w:val="28"/>
          <w:szCs w:val="28"/>
          <w:highlight w:val="none"/>
        </w:rPr>
        <w:t>172.1</w:t>
      </w:r>
      <w:r>
        <w:rPr>
          <w:rFonts w:hint="eastAsia" w:ascii="仿宋_GB2312" w:eastAsia="仿宋_GB2312"/>
          <w:sz w:val="28"/>
          <w:szCs w:val="28"/>
          <w:highlight w:val="none"/>
          <w:lang w:val="en-US" w:eastAsia="zh-CN"/>
        </w:rPr>
        <w:t>0</w:t>
      </w:r>
      <w:r>
        <w:rPr>
          <w:rFonts w:hint="eastAsia" w:ascii="仿宋_GB2312" w:eastAsia="仿宋_GB2312"/>
          <w:sz w:val="28"/>
          <w:szCs w:val="28"/>
        </w:rPr>
        <w:t>万元，占政府采购支出总额的</w:t>
      </w:r>
      <w:r>
        <w:rPr>
          <w:rFonts w:ascii="仿宋_GB2312" w:eastAsia="仿宋_GB2312"/>
          <w:sz w:val="28"/>
          <w:szCs w:val="28"/>
          <w:highlight w:val="none"/>
        </w:rPr>
        <w:t>45.92</w:t>
      </w:r>
      <w:r>
        <w:rPr>
          <w:rFonts w:hint="eastAsia" w:ascii="仿宋_GB2312" w:eastAsia="仿宋_GB2312"/>
          <w:sz w:val="28"/>
          <w:szCs w:val="28"/>
        </w:rPr>
        <w:t>%，其中：授予小微企业合同金额</w:t>
      </w:r>
      <w:r>
        <w:rPr>
          <w:rFonts w:ascii="仿宋_GB2312" w:eastAsia="仿宋_GB2312"/>
          <w:sz w:val="28"/>
          <w:szCs w:val="28"/>
          <w:highlight w:val="none"/>
        </w:rPr>
        <w:t>153.96</w:t>
      </w:r>
      <w:r>
        <w:rPr>
          <w:rFonts w:hint="eastAsia" w:ascii="仿宋_GB2312" w:eastAsia="仿宋_GB2312"/>
          <w:sz w:val="28"/>
          <w:szCs w:val="28"/>
        </w:rPr>
        <w:t>万元，占政府采购支出总额的</w:t>
      </w:r>
      <w:r>
        <w:rPr>
          <w:rFonts w:ascii="仿宋_GB2312" w:eastAsia="仿宋_GB2312"/>
          <w:sz w:val="28"/>
          <w:szCs w:val="28"/>
          <w:highlight w:val="none"/>
        </w:rPr>
        <w:t>41.08</w:t>
      </w:r>
      <w:r>
        <w:rPr>
          <w:rFonts w:hint="eastAsia" w:ascii="仿宋_GB2312" w:eastAsia="仿宋_GB2312"/>
          <w:sz w:val="28"/>
          <w:szCs w:val="28"/>
          <w:highlight w:val="none"/>
        </w:rPr>
        <w:t>%</w:t>
      </w:r>
      <w:r>
        <w:rPr>
          <w:rFonts w:hint="eastAsia" w:ascii="仿宋_GB2312" w:eastAsia="仿宋_GB2312"/>
          <w:sz w:val="28"/>
          <w:szCs w:val="28"/>
        </w:rPr>
        <w:t>。</w:t>
      </w:r>
    </w:p>
    <w:p w14:paraId="6AB4D303">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5E4315D7">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12月31日，北京技术市场管理办公室</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16</w:t>
      </w:r>
      <w:r>
        <w:rPr>
          <w:rFonts w:hint="eastAsia" w:ascii="仿宋_GB2312" w:eastAsia="仿宋_GB2312"/>
          <w:sz w:val="28"/>
          <w:szCs w:val="28"/>
        </w:rPr>
        <w:t>.</w:t>
      </w:r>
      <w:r>
        <w:rPr>
          <w:rFonts w:hint="eastAsia" w:ascii="仿宋_GB2312" w:eastAsia="仿宋_GB2312"/>
          <w:sz w:val="28"/>
          <w:szCs w:val="28"/>
          <w:lang w:val="en-US" w:eastAsia="zh-CN"/>
        </w:rPr>
        <w:t>97</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14:paraId="6265C2FB">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D5D2B39">
      <w:pPr>
        <w:ind w:firstLine="537" w:firstLineChars="192"/>
        <w:rPr>
          <w:rFonts w:hint="eastAsia" w:ascii="仿宋_GB2312" w:eastAsia="仿宋_GB2312"/>
          <w:sz w:val="28"/>
          <w:szCs w:val="28"/>
        </w:rPr>
      </w:pPr>
      <w:r>
        <w:rPr>
          <w:rFonts w:hint="eastAsia" w:ascii="仿宋_GB2312" w:eastAsia="仿宋_GB2312"/>
          <w:sz w:val="28"/>
          <w:szCs w:val="28"/>
        </w:rPr>
        <w:t>本单位不属于政府购买服务购买主体。</w:t>
      </w:r>
    </w:p>
    <w:p w14:paraId="39506BE9">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86CA5A6">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152AFBE">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31DE4D2">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E563E7C">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250B3449">
      <w:pPr>
        <w:ind w:firstLine="560" w:firstLineChars="200"/>
        <w:rPr>
          <w:rFonts w:hint="eastAsia"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14:paraId="17574438">
      <w:pPr>
        <w:ind w:firstLine="560" w:firstLineChars="200"/>
        <w:rPr>
          <w:rFonts w:hint="eastAsia"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1BE15349">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7.支出功能分类项级科目名词解释</w:t>
      </w:r>
    </w:p>
    <w:p w14:paraId="3617BD19">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教育支出（类）进修及培训（款）培训支出（项）（2050803）：反映各部门安排的用于培训的支出。教育部门的师资培训，党校、行政学院等专业干部教育机构的支出，以及退役士兵、转业士官的培训支出，不在本科目反映。</w:t>
      </w:r>
    </w:p>
    <w:p w14:paraId="2A9C3F12">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（2）科学技术支出（类）科学技术管理事务（款）行政运行（项）（2060101）：反映行政单位（包括实行公务员管理的事业单位）的基本支出。</w:t>
      </w:r>
    </w:p>
    <w:p w14:paraId="3B5528AE">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（3）科学技术支出（类）科技条件与服务（款）技术创新服务体系（项）（2060502）：反映国家为公益性行业、企业等提供信息、技术、中介等全方位服务和支持，建立健全技术服务体系等方面的支出。</w:t>
      </w:r>
    </w:p>
    <w:p w14:paraId="11A84AA5">
      <w:pPr>
        <w:keepNext w:val="0"/>
        <w:keepLines w:val="0"/>
        <w:pageBreakBefore w:val="0"/>
        <w:widowControl/>
        <w:numPr>
          <w:ilvl w:val="-1"/>
          <w:numId w:val="0"/>
        </w:numPr>
        <w:kinsoku/>
        <w:wordWrap/>
        <w:overflowPunct/>
        <w:topLinePunct w:val="0"/>
        <w:bidi w:val="0"/>
        <w:snapToGrid/>
        <w:spacing w:line="240" w:lineRule="auto"/>
        <w:ind w:firstLine="560" w:firstLineChars="200"/>
        <w:textAlignment w:val="auto"/>
        <w:rPr>
          <w:rFonts w:hint="eastAsia" w:ascii="仿宋_GB2312" w:hAnsi="Times New Roman" w:eastAsia="仿宋_GB2312" w:cs="Times New Roman"/>
          <w:sz w:val="28"/>
          <w:szCs w:val="28"/>
        </w:rPr>
      </w:pPr>
      <w:r>
        <w:rPr>
          <w:rFonts w:hint="eastAsia" w:ascii="仿宋_GB2312" w:eastAsia="仿宋_GB2312"/>
          <w:sz w:val="28"/>
          <w:szCs w:val="28"/>
          <w:lang w:val="en-US" w:eastAsia="zh-CN"/>
        </w:rPr>
        <w:t>（4）</w:t>
      </w:r>
      <w:r>
        <w:rPr>
          <w:rFonts w:hint="eastAsia" w:ascii="仿宋_GB2312" w:hAnsi="Times New Roman" w:eastAsia="仿宋_GB2312" w:cs="Times New Roman"/>
          <w:sz w:val="28"/>
          <w:szCs w:val="28"/>
        </w:rPr>
        <w:t>社会保障和就业支出（类）行政事业单位养老支出（款）行政单位离退休（项）（2080501）：反映行政单位（包括实行公务员管理的事业单位）开支的离退休经费。</w:t>
      </w:r>
    </w:p>
    <w:p w14:paraId="651478D7">
      <w:pPr>
        <w:ind w:firstLine="560" w:firstLineChars="200"/>
        <w:rPr>
          <w:rFonts w:ascii="仿宋_GB2312" w:eastAsia="仿宋_GB2312"/>
          <w:sz w:val="28"/>
          <w:szCs w:val="28"/>
        </w:rPr>
      </w:pPr>
      <w:r>
        <w:rPr>
          <w:rFonts w:hint="eastAsia" w:ascii="仿宋_GB2312" w:eastAsia="仿宋_GB2312"/>
          <w:sz w:val="28"/>
          <w:szCs w:val="28"/>
          <w:lang w:val="en-US" w:eastAsia="zh-CN"/>
        </w:rPr>
        <w:t>（5）社会保障和就业支出（类）行政事业单位养老支出（款）机关事业单位职业年金缴费支出（项）（2080506）：反映机关事业单位实施养老保险制度由单位实际缴纳的职业年金支出。</w:t>
      </w:r>
    </w:p>
    <w:p w14:paraId="3F52E1B4">
      <w:pPr>
        <w:ind w:firstLine="632" w:firstLineChars="200"/>
        <w:rPr>
          <w:rFonts w:ascii="仿宋_GB2312" w:eastAsia="仿宋_GB2312"/>
          <w:b/>
          <w:color w:val="000000"/>
          <w:spacing w:val="-2"/>
          <w:sz w:val="32"/>
          <w:szCs w:val="32"/>
        </w:rPr>
      </w:pPr>
    </w:p>
    <w:p w14:paraId="1124D850">
      <w:pPr>
        <w:ind w:firstLine="640" w:firstLineChars="200"/>
        <w:jc w:val="center"/>
        <w:rPr>
          <w:rFonts w:ascii="黑体" w:eastAsia="黑体"/>
          <w:sz w:val="32"/>
          <w:szCs w:val="32"/>
        </w:rPr>
      </w:pPr>
    </w:p>
    <w:p w14:paraId="5382A5D3">
      <w:pPr>
        <w:ind w:firstLine="640" w:firstLineChars="200"/>
        <w:jc w:val="center"/>
        <w:rPr>
          <w:rFonts w:ascii="黑体" w:eastAsia="黑体"/>
          <w:sz w:val="32"/>
          <w:szCs w:val="32"/>
        </w:rPr>
      </w:pPr>
    </w:p>
    <w:p w14:paraId="3D3691F7">
      <w:pPr>
        <w:rPr>
          <w:rFonts w:hint="eastAsia" w:ascii="黑体" w:eastAsia="黑体"/>
          <w:sz w:val="32"/>
          <w:szCs w:val="32"/>
        </w:rPr>
      </w:pPr>
      <w:r>
        <w:rPr>
          <w:rFonts w:hint="eastAsia" w:ascii="黑体" w:eastAsia="黑体"/>
          <w:sz w:val="32"/>
          <w:szCs w:val="32"/>
        </w:rPr>
        <w:br w:type="page"/>
      </w:r>
    </w:p>
    <w:p w14:paraId="5D485FC0">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14:paraId="6E0C3F4F">
      <w:pPr>
        <w:ind w:firstLine="560" w:firstLineChars="200"/>
        <w:rPr>
          <w:rFonts w:ascii="黑体" w:eastAsia="黑体"/>
          <w:sz w:val="28"/>
          <w:szCs w:val="28"/>
          <w:highlight w:val="yellow"/>
        </w:rPr>
      </w:pPr>
    </w:p>
    <w:p w14:paraId="07279EE9">
      <w:pPr>
        <w:ind w:firstLine="560" w:firstLineChars="200"/>
      </w:pPr>
      <w:r>
        <w:rPr>
          <w:rFonts w:hint="eastAsia" w:ascii="黑体" w:eastAsia="黑体"/>
          <w:sz w:val="28"/>
          <w:szCs w:val="28"/>
          <w:lang w:val="en-US" w:eastAsia="zh-CN"/>
        </w:rPr>
        <w:t>一</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14:paraId="7B011745"/>
    <w:p w14:paraId="1CCA8637">
      <w:pPr>
        <w:pStyle w:val="3"/>
      </w:pPr>
    </w:p>
    <w:p w14:paraId="0B869AF9"/>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7FEB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7A76F4E7">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2BDD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4C94D6D9">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A2B9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359BE1F5">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ZlNDJlNzJlYmE4ODExOTVkYTJkOGVmMzlhOWNhNmU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BA148CA"/>
    <w:rsid w:val="0DD136FE"/>
    <w:rsid w:val="0F8E2C57"/>
    <w:rsid w:val="1059665E"/>
    <w:rsid w:val="10AC13BA"/>
    <w:rsid w:val="193113BA"/>
    <w:rsid w:val="1AEC0734"/>
    <w:rsid w:val="1DEF20B0"/>
    <w:rsid w:val="211F1B8F"/>
    <w:rsid w:val="214243FA"/>
    <w:rsid w:val="21AD613C"/>
    <w:rsid w:val="257A14F5"/>
    <w:rsid w:val="27196C26"/>
    <w:rsid w:val="29EF086F"/>
    <w:rsid w:val="2EFFE297"/>
    <w:rsid w:val="301437CA"/>
    <w:rsid w:val="349D1F0A"/>
    <w:rsid w:val="34DD0473"/>
    <w:rsid w:val="3B5D1C85"/>
    <w:rsid w:val="433E495C"/>
    <w:rsid w:val="459D0C27"/>
    <w:rsid w:val="492B2F61"/>
    <w:rsid w:val="4AC27CB3"/>
    <w:rsid w:val="4BF72BEF"/>
    <w:rsid w:val="51DB3C59"/>
    <w:rsid w:val="550C0952"/>
    <w:rsid w:val="55762E42"/>
    <w:rsid w:val="57A7B272"/>
    <w:rsid w:val="58470068"/>
    <w:rsid w:val="597D67D2"/>
    <w:rsid w:val="5A1720F9"/>
    <w:rsid w:val="5B9C37C2"/>
    <w:rsid w:val="5BA7C654"/>
    <w:rsid w:val="64C0607C"/>
    <w:rsid w:val="676F09E1"/>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200" w:firstLineChars="200"/>
    </w:pPr>
  </w:style>
  <w:style w:type="paragraph" w:styleId="4">
    <w:name w:val="Body Text Indent"/>
    <w:basedOn w:val="1"/>
    <w:autoRedefine/>
    <w:qFormat/>
    <w:uiPriority w:val="0"/>
    <w:pPr>
      <w:ind w:firstLine="645"/>
    </w:pPr>
    <w:rPr>
      <w:rFonts w:ascii="仿宋_GB2312" w:hAnsi="Calibri" w:eastAsia="仿宋_GB2312"/>
      <w:sz w:val="32"/>
      <w:szCs w:val="32"/>
    </w:rPr>
  </w:style>
  <w:style w:type="paragraph" w:styleId="5">
    <w:name w:val="Date"/>
    <w:basedOn w:val="1"/>
    <w:next w:val="1"/>
    <w:autoRedefine/>
    <w:qFormat/>
    <w:uiPriority w:val="0"/>
    <w:pPr>
      <w:ind w:left="100" w:leftChars="2500"/>
    </w:pPr>
  </w:style>
  <w:style w:type="paragraph" w:styleId="6">
    <w:name w:val="Balloon Text"/>
    <w:basedOn w:val="1"/>
    <w:autoRedefine/>
    <w:semiHidden/>
    <w:qFormat/>
    <w:uiPriority w:val="0"/>
    <w:rPr>
      <w:sz w:val="18"/>
      <w:szCs w:val="18"/>
    </w:rPr>
  </w:style>
  <w:style w:type="paragraph" w:styleId="7">
    <w:name w:val="footer"/>
    <w:basedOn w:val="1"/>
    <w:link w:val="14"/>
    <w:autoRedefine/>
    <w:qFormat/>
    <w:uiPriority w:val="0"/>
    <w:pPr>
      <w:tabs>
        <w:tab w:val="center" w:pos="4153"/>
        <w:tab w:val="right" w:pos="8306"/>
      </w:tabs>
      <w:snapToGrid w:val="0"/>
      <w:jc w:val="left"/>
    </w:pPr>
    <w:rPr>
      <w:sz w:val="18"/>
      <w:szCs w:val="18"/>
    </w:rPr>
  </w:style>
  <w:style w:type="paragraph" w:styleId="8">
    <w:name w:val="header"/>
    <w:basedOn w:val="1"/>
    <w:link w:val="15"/>
    <w:autoRedefine/>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autoRedefine/>
    <w:unhideWhenUsed/>
    <w:qFormat/>
    <w:uiPriority w:val="0"/>
    <w:pPr>
      <w:spacing w:before="100" w:beforeAutospacing="1" w:after="100" w:afterAutospacing="1"/>
      <w:ind w:right="238"/>
      <w:jc w:val="left"/>
    </w:pPr>
    <w:rPr>
      <w:b/>
      <w:kern w:val="0"/>
      <w:sz w:val="24"/>
      <w:szCs w:val="20"/>
    </w:rPr>
  </w:style>
  <w:style w:type="character" w:styleId="12">
    <w:name w:val="Strong"/>
    <w:autoRedefine/>
    <w:qFormat/>
    <w:uiPriority w:val="0"/>
    <w:rPr>
      <w:b/>
    </w:rPr>
  </w:style>
  <w:style w:type="character" w:styleId="13">
    <w:name w:val="page number"/>
    <w:autoRedefine/>
    <w:qFormat/>
    <w:uiPriority w:val="0"/>
  </w:style>
  <w:style w:type="character" w:customStyle="1" w:styleId="14">
    <w:name w:val="页脚 Char"/>
    <w:link w:val="7"/>
    <w:autoRedefine/>
    <w:qFormat/>
    <w:uiPriority w:val="0"/>
    <w:rPr>
      <w:rFonts w:eastAsia="宋体"/>
      <w:kern w:val="2"/>
      <w:sz w:val="18"/>
      <w:szCs w:val="18"/>
      <w:lang w:val="en-US" w:eastAsia="zh-CN" w:bidi="ar-SA"/>
    </w:rPr>
  </w:style>
  <w:style w:type="character" w:customStyle="1" w:styleId="15">
    <w:name w:val="页眉 Char"/>
    <w:link w:val="8"/>
    <w:autoRedefine/>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autoRedefine/>
    <w:qFormat/>
    <w:uiPriority w:val="0"/>
    <w:rPr>
      <w:rFonts w:ascii="Tahoma" w:hAnsi="Tahoma"/>
      <w:sz w:val="24"/>
      <w:szCs w:val="20"/>
    </w:rPr>
  </w:style>
  <w:style w:type="paragraph" w:customStyle="1" w:styleId="17">
    <w:name w:val="Char1 Char Char Char"/>
    <w:basedOn w:val="1"/>
    <w:autoRedefine/>
    <w:qFormat/>
    <w:uiPriority w:val="0"/>
    <w:pPr>
      <w:widowControl/>
      <w:spacing w:after="160" w:line="240" w:lineRule="exact"/>
      <w:jc w:val="left"/>
    </w:pPr>
    <w:rPr>
      <w:szCs w:val="20"/>
    </w:rPr>
  </w:style>
  <w:style w:type="paragraph" w:customStyle="1" w:styleId="18">
    <w:name w:val="Char"/>
    <w:basedOn w:val="1"/>
    <w:autoRedefine/>
    <w:qFormat/>
    <w:uiPriority w:val="0"/>
    <w:rPr>
      <w:rFonts w:ascii="Tahoma" w:hAnsi="Tahoma"/>
      <w:sz w:val="24"/>
      <w:szCs w:val="20"/>
    </w:rPr>
  </w:style>
  <w:style w:type="paragraph" w:customStyle="1" w:styleId="19">
    <w:name w:val="Char Char3 Char Char"/>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extLst>
                <c:ext xmlns:c15="http://schemas.microsoft.com/office/drawing/2012/chart" uri="{02D57815-91ED-43cb-92C2-25804820EDAC}">
                  <c15:fullRef>
                    <c15:sqref>Sheet1!$A$2:$A$7</c15:sqref>
                  </c15:fullRef>
                </c:ext>
              </c:extLst>
              <c:f>Sheet1!$A$2</c:f>
              <c:strCache>
                <c:ptCount val="1"/>
                <c:pt idx="0">
                  <c:v>财政拨款收入</c:v>
                </c:pt>
              </c:strCache>
            </c:strRef>
          </c:cat>
          <c:val>
            <c:numRef>
              <c:extLst>
                <c:ext xmlns:c15="http://schemas.microsoft.com/office/drawing/2012/chart" uri="{02D57815-91ED-43cb-92C2-25804820EDAC}">
                  <c15:fullRef>
                    <c15:sqref>Sheet1!$B$2:$B$7</c15:sqref>
                  </c15:fullRef>
                </c:ext>
              </c:extLst>
              <c:f>Sheet1!$B$2</c:f>
              <c:numCache>
                <c:formatCode>General</c:formatCode>
                <c:ptCount val="1"/>
                <c:pt idx="0">
                  <c:v>2095.27</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extLst>
                <c:ext xmlns:c15="http://schemas.microsoft.com/office/drawing/2012/chart" uri="{02D57815-91ED-43cb-92C2-25804820EDAC}">
                  <c15:fullRef>
                    <c15:sqref>Sheet0!$A$2:$A$6</c15:sqref>
                  </c15:fullRef>
                </c:ext>
              </c:extLst>
              <c:f>Sheet0!$A$2:$A$3</c:f>
              <c:strCache>
                <c:ptCount val="2"/>
                <c:pt idx="0">
                  <c:v>基本支出</c:v>
                </c:pt>
                <c:pt idx="1">
                  <c:v>项目支出</c:v>
                </c:pt>
              </c:strCache>
            </c:strRef>
          </c:cat>
          <c:val>
            <c:numRef>
              <c:extLst>
                <c:ext xmlns:c15="http://schemas.microsoft.com/office/drawing/2012/chart" uri="{02D57815-91ED-43cb-92C2-25804820EDAC}">
                  <c15:fullRef>
                    <c15:sqref>Sheet0!$B$2:$B$6</c15:sqref>
                  </c15:fullRef>
                </c:ext>
              </c:extLst>
              <c:f>Sheet0!$B$2:$B$3</c:f>
              <c:numCache>
                <c:formatCode>General</c:formatCode>
                <c:ptCount val="2"/>
                <c:pt idx="0">
                  <c:v>657.86</c:v>
                </c:pt>
                <c:pt idx="1">
                  <c:v>1137.69</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3994</Words>
  <Characters>4505</Characters>
  <Lines>44</Lines>
  <Paragraphs>12</Paragraphs>
  <TotalTime>7</TotalTime>
  <ScaleCrop>false</ScaleCrop>
  <LinksUpToDate>false</LinksUpToDate>
  <CharactersWithSpaces>4524</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M9</cp:lastModifiedBy>
  <cp:lastPrinted>2020-08-07T11:39:00Z</cp:lastPrinted>
  <dcterms:modified xsi:type="dcterms:W3CDTF">2024-09-04T08:54:08Z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435078ACFECC4A5A8A519EF4C3681114_13</vt:lpwstr>
  </property>
</Properties>
</file>