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1823DA">
      <w:pPr>
        <w:jc w:val="center"/>
        <w:rPr>
          <w:rFonts w:ascii="黑体" w:eastAsia="黑体"/>
          <w:sz w:val="72"/>
          <w:szCs w:val="72"/>
        </w:rPr>
      </w:pPr>
    </w:p>
    <w:p w14:paraId="7D947470">
      <w:pPr>
        <w:jc w:val="center"/>
        <w:rPr>
          <w:rFonts w:ascii="黑体" w:eastAsia="黑体"/>
          <w:sz w:val="72"/>
          <w:szCs w:val="72"/>
        </w:rPr>
      </w:pPr>
    </w:p>
    <w:p w14:paraId="558AF545">
      <w:pPr>
        <w:jc w:val="center"/>
        <w:rPr>
          <w:rFonts w:ascii="黑体" w:eastAsia="黑体"/>
          <w:sz w:val="72"/>
          <w:szCs w:val="72"/>
        </w:rPr>
      </w:pPr>
    </w:p>
    <w:p w14:paraId="0855CEC6">
      <w:pPr>
        <w:jc w:val="center"/>
        <w:rPr>
          <w:rFonts w:ascii="黑体" w:eastAsia="黑体"/>
          <w:sz w:val="72"/>
          <w:szCs w:val="72"/>
        </w:rPr>
      </w:pPr>
    </w:p>
    <w:p w14:paraId="7F1D4E03">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14:paraId="4A44AD34">
      <w:pPr>
        <w:pStyle w:val="2"/>
        <w:rPr>
          <w:rFonts w:hint="eastAsia" w:ascii="黑体" w:hAnsi="Times New Roman" w:eastAsia="黑体" w:cs="Times New Roman"/>
          <w:kern w:val="2"/>
          <w:sz w:val="72"/>
          <w:szCs w:val="72"/>
          <w:lang w:val="en-US" w:eastAsia="zh-CN" w:bidi="ar-SA"/>
        </w:rPr>
      </w:pPr>
    </w:p>
    <w:p w14:paraId="27E5DF3B">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中关村政府采购促进中心</w:t>
      </w:r>
    </w:p>
    <w:p w14:paraId="55B22700">
      <w:pPr>
        <w:pStyle w:val="2"/>
        <w:jc w:val="center"/>
      </w:pPr>
    </w:p>
    <w:p w14:paraId="4907B1AA">
      <w:pPr>
        <w:jc w:val="center"/>
        <w:rPr>
          <w:rFonts w:ascii="黑体" w:eastAsia="黑体"/>
          <w:sz w:val="52"/>
          <w:szCs w:val="52"/>
        </w:rPr>
      </w:pPr>
    </w:p>
    <w:p w14:paraId="2893344F">
      <w:pPr>
        <w:jc w:val="center"/>
        <w:rPr>
          <w:rFonts w:ascii="黑体" w:eastAsia="黑体"/>
          <w:sz w:val="52"/>
          <w:szCs w:val="52"/>
        </w:rPr>
      </w:pPr>
    </w:p>
    <w:p w14:paraId="7EB01BBB">
      <w:pPr>
        <w:jc w:val="center"/>
        <w:rPr>
          <w:rFonts w:ascii="黑体" w:eastAsia="黑体"/>
          <w:sz w:val="52"/>
          <w:szCs w:val="52"/>
        </w:rPr>
      </w:pPr>
    </w:p>
    <w:p w14:paraId="593AE35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28CA72A">
      <w:pPr>
        <w:spacing w:line="500" w:lineRule="exact"/>
        <w:ind w:firstLine="645"/>
        <w:jc w:val="center"/>
        <w:rPr>
          <w:rFonts w:ascii="宋体" w:hAnsi="宋体" w:cs="宋体"/>
          <w:b/>
          <w:bCs/>
          <w:kern w:val="0"/>
          <w:sz w:val="36"/>
          <w:szCs w:val="36"/>
        </w:rPr>
      </w:pPr>
    </w:p>
    <w:p w14:paraId="40E08AE4">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02E68220">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A339AA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94317D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A28246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E04C1E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4DF8FBA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01AD716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42CFCF2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3EB8A0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CF282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7299339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7E32104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0C6C130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25045587">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4614E0D2">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6B1EBD51">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5B4B218C">
      <w:pPr>
        <w:tabs>
          <w:tab w:val="center" w:pos="6979"/>
        </w:tabs>
        <w:spacing w:before="156" w:beforeLines="50" w:after="156" w:afterLines="50"/>
        <w:jc w:val="center"/>
        <w:rPr>
          <w:rFonts w:ascii="宋体" w:hAnsi="宋体" w:cs="宋体"/>
          <w:b/>
          <w:bCs/>
          <w:spacing w:val="40"/>
          <w:kern w:val="0"/>
          <w:sz w:val="32"/>
          <w:szCs w:val="32"/>
        </w:rPr>
      </w:pPr>
    </w:p>
    <w:p w14:paraId="31ADDDD7">
      <w:pPr>
        <w:tabs>
          <w:tab w:val="center" w:pos="6979"/>
        </w:tabs>
        <w:spacing w:before="156" w:beforeLines="50" w:after="156" w:afterLines="50"/>
        <w:jc w:val="center"/>
        <w:rPr>
          <w:rFonts w:ascii="宋体" w:hAnsi="宋体" w:cs="宋体"/>
          <w:b/>
          <w:bCs/>
          <w:spacing w:val="40"/>
          <w:kern w:val="0"/>
          <w:sz w:val="32"/>
          <w:szCs w:val="32"/>
        </w:rPr>
      </w:pPr>
    </w:p>
    <w:p w14:paraId="0D958D8C">
      <w:pPr>
        <w:tabs>
          <w:tab w:val="center" w:pos="6979"/>
        </w:tabs>
        <w:spacing w:before="156" w:beforeLines="50" w:after="156" w:afterLines="50"/>
        <w:jc w:val="center"/>
        <w:rPr>
          <w:rFonts w:ascii="宋体" w:hAnsi="宋体" w:cs="宋体"/>
          <w:b/>
          <w:bCs/>
          <w:spacing w:val="40"/>
          <w:kern w:val="0"/>
          <w:sz w:val="32"/>
          <w:szCs w:val="32"/>
        </w:rPr>
      </w:pPr>
    </w:p>
    <w:p w14:paraId="2835A208">
      <w:pPr>
        <w:tabs>
          <w:tab w:val="center" w:pos="6979"/>
        </w:tabs>
        <w:spacing w:before="156" w:beforeLines="50" w:after="156" w:afterLines="50"/>
        <w:jc w:val="center"/>
        <w:rPr>
          <w:rFonts w:ascii="宋体" w:hAnsi="宋体" w:cs="宋体"/>
          <w:b/>
          <w:bCs/>
          <w:spacing w:val="40"/>
          <w:kern w:val="0"/>
          <w:sz w:val="32"/>
          <w:szCs w:val="32"/>
        </w:rPr>
      </w:pPr>
    </w:p>
    <w:p w14:paraId="3F891163">
      <w:pPr>
        <w:tabs>
          <w:tab w:val="center" w:pos="6979"/>
        </w:tabs>
        <w:spacing w:before="156" w:beforeLines="50" w:after="156" w:afterLines="50"/>
        <w:jc w:val="center"/>
        <w:rPr>
          <w:rFonts w:ascii="宋体" w:hAnsi="宋体" w:cs="宋体"/>
          <w:b/>
          <w:bCs/>
          <w:spacing w:val="40"/>
          <w:kern w:val="0"/>
          <w:sz w:val="32"/>
          <w:szCs w:val="32"/>
        </w:rPr>
      </w:pPr>
    </w:p>
    <w:p w14:paraId="5E10E5E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17019E0A">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D9993EF">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4B8787C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5C4ADE97">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1F896EFD">
      <w:pPr>
        <w:tabs>
          <w:tab w:val="center" w:pos="6979"/>
        </w:tabs>
        <w:spacing w:line="580" w:lineRule="exact"/>
        <w:ind w:firstLine="420" w:firstLineChars="150"/>
        <w:rPr>
          <w:rFonts w:hint="eastAsia" w:ascii="仿宋_GB2312" w:eastAsia="仿宋_GB2312"/>
          <w:color w:val="000000"/>
          <w:sz w:val="28"/>
          <w:szCs w:val="28"/>
        </w:rPr>
      </w:pPr>
      <w:r>
        <w:rPr>
          <w:rFonts w:hint="eastAsia" w:ascii="仿宋_GB2312" w:eastAsia="仿宋_GB2312"/>
          <w:sz w:val="28"/>
          <w:szCs w:val="28"/>
        </w:rPr>
        <w:t>中关村政府采购促进中心是根据北京市机构编制委员会办公室《关于同意设立中关村政府采购促进中心的函》（京编办事〔2011〕27号）设立，是市科委、中关村管委会所属正处级事业单位，经费形式为全额拨款。</w:t>
      </w:r>
      <w:r>
        <w:rPr>
          <w:rFonts w:hint="eastAsia" w:ascii="仿宋_GB2312" w:eastAsia="仿宋_GB2312"/>
          <w:color w:val="000000"/>
          <w:sz w:val="28"/>
          <w:szCs w:val="28"/>
        </w:rPr>
        <w:t>主要职责为承担新技术新产品（服务）</w:t>
      </w:r>
      <w:r>
        <w:rPr>
          <w:rFonts w:ascii="仿宋_GB2312" w:eastAsia="仿宋_GB2312"/>
          <w:color w:val="000000"/>
          <w:sz w:val="28"/>
          <w:szCs w:val="28"/>
        </w:rPr>
        <w:t>政府采购综合服务平台</w:t>
      </w:r>
      <w:r>
        <w:rPr>
          <w:rFonts w:hint="eastAsia" w:ascii="仿宋_GB2312" w:eastAsia="仿宋_GB2312"/>
          <w:color w:val="000000"/>
          <w:sz w:val="28"/>
          <w:szCs w:val="28"/>
        </w:rPr>
        <w:t>建设</w:t>
      </w:r>
      <w:r>
        <w:rPr>
          <w:rFonts w:ascii="仿宋_GB2312" w:eastAsia="仿宋_GB2312"/>
          <w:color w:val="000000"/>
          <w:sz w:val="28"/>
          <w:szCs w:val="28"/>
        </w:rPr>
        <w:t>工作，</w:t>
      </w:r>
      <w:r>
        <w:rPr>
          <w:rFonts w:hint="eastAsia" w:ascii="仿宋_GB2312" w:eastAsia="仿宋_GB2312"/>
          <w:color w:val="000000"/>
          <w:sz w:val="28"/>
          <w:szCs w:val="28"/>
        </w:rPr>
        <w:t>开展</w:t>
      </w:r>
      <w:r>
        <w:rPr>
          <w:rFonts w:ascii="仿宋_GB2312" w:eastAsia="仿宋_GB2312"/>
          <w:color w:val="000000"/>
          <w:sz w:val="28"/>
          <w:szCs w:val="28"/>
        </w:rPr>
        <w:t>信息收集、项目推介和对接</w:t>
      </w:r>
      <w:r>
        <w:rPr>
          <w:rFonts w:hint="eastAsia" w:ascii="仿宋_GB2312" w:eastAsia="仿宋_GB2312"/>
          <w:color w:val="000000"/>
          <w:sz w:val="28"/>
          <w:szCs w:val="28"/>
        </w:rPr>
        <w:t>活动</w:t>
      </w:r>
      <w:r>
        <w:rPr>
          <w:rFonts w:ascii="仿宋_GB2312" w:eastAsia="仿宋_GB2312"/>
          <w:color w:val="000000"/>
          <w:sz w:val="28"/>
          <w:szCs w:val="28"/>
        </w:rPr>
        <w:t>、项目跟踪服务</w:t>
      </w:r>
      <w:r>
        <w:rPr>
          <w:rFonts w:hint="eastAsia" w:ascii="仿宋_GB2312" w:eastAsia="仿宋_GB2312"/>
          <w:color w:val="000000"/>
          <w:sz w:val="28"/>
          <w:szCs w:val="28"/>
        </w:rPr>
        <w:t>工作，具体承担中关村论坛展示交易板块筹办等工作，展览展示活动策划实施工作，科技新场景建设相关</w:t>
      </w:r>
      <w:r>
        <w:rPr>
          <w:rFonts w:ascii="仿宋_GB2312" w:eastAsia="仿宋_GB2312"/>
          <w:color w:val="000000"/>
          <w:sz w:val="28"/>
          <w:szCs w:val="28"/>
        </w:rPr>
        <w:t>工作</w:t>
      </w:r>
      <w:r>
        <w:rPr>
          <w:rFonts w:hint="eastAsia" w:ascii="仿宋_GB2312" w:eastAsia="仿宋_GB2312"/>
          <w:color w:val="000000"/>
          <w:sz w:val="28"/>
          <w:szCs w:val="28"/>
        </w:rPr>
        <w:t>。</w:t>
      </w:r>
    </w:p>
    <w:p w14:paraId="621E6CDC">
      <w:pPr>
        <w:tabs>
          <w:tab w:val="center" w:pos="6979"/>
        </w:tabs>
        <w:spacing w:line="580" w:lineRule="exact"/>
        <w:ind w:firstLine="420" w:firstLineChars="150"/>
        <w:rPr>
          <w:rFonts w:hint="eastAsia" w:ascii="仿宋_GB2312" w:eastAsia="仿宋_GB2312"/>
          <w:sz w:val="28"/>
          <w:szCs w:val="28"/>
        </w:rPr>
      </w:pPr>
      <w:r>
        <w:rPr>
          <w:rFonts w:hint="eastAsia" w:ascii="仿宋_GB2312" w:hAnsi="Times New Roman" w:eastAsia="仿宋_GB2312" w:cs="Times New Roman"/>
          <w:color w:val="auto"/>
          <w:sz w:val="28"/>
          <w:szCs w:val="28"/>
        </w:rPr>
        <w:t>内设4个部</w:t>
      </w:r>
      <w:r>
        <w:rPr>
          <w:rFonts w:hint="eastAsia" w:ascii="仿宋_GB2312" w:eastAsia="仿宋_GB2312"/>
          <w:sz w:val="28"/>
          <w:szCs w:val="28"/>
        </w:rPr>
        <w:t>门，分别为</w:t>
      </w:r>
      <w:r>
        <w:rPr>
          <w:rFonts w:hint="eastAsia" w:ascii="仿宋_GB2312" w:eastAsia="仿宋_GB2312"/>
          <w:sz w:val="28"/>
          <w:szCs w:val="28"/>
          <w:lang w:eastAsia="zh-CN"/>
        </w:rPr>
        <w:t>：</w:t>
      </w:r>
      <w:r>
        <w:rPr>
          <w:rFonts w:hint="eastAsia" w:ascii="仿宋_GB2312" w:eastAsia="仿宋_GB2312"/>
          <w:sz w:val="28"/>
          <w:szCs w:val="28"/>
        </w:rPr>
        <w:t>综合管理部、中关村论坛一部、中关村论坛二部和推广与应用部。</w:t>
      </w:r>
    </w:p>
    <w:p w14:paraId="7DC959E9">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1F223169">
      <w:pPr>
        <w:tabs>
          <w:tab w:val="center" w:pos="6979"/>
        </w:tabs>
        <w:spacing w:line="580" w:lineRule="exact"/>
        <w:ind w:firstLine="420" w:firstLineChars="15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2"/>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2"/>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2"/>
          <w:sz w:val="28"/>
          <w:szCs w:val="28"/>
          <w:lang w:val="en-US" w:eastAsia="zh-CN"/>
        </w:rPr>
        <w:t>24</w:t>
      </w:r>
      <w:r>
        <w:rPr>
          <w:rFonts w:hint="eastAsia" w:ascii="仿宋_GB2312" w:eastAsia="仿宋_GB2312"/>
          <w:kern w:val="0"/>
          <w:sz w:val="28"/>
          <w:szCs w:val="28"/>
        </w:rPr>
        <w:t>人，实有人数</w:t>
      </w:r>
      <w:r>
        <w:rPr>
          <w:rFonts w:hint="eastAsia" w:ascii="仿宋_GB2312" w:eastAsia="仿宋_GB2312"/>
          <w:kern w:val="2"/>
          <w:sz w:val="28"/>
          <w:szCs w:val="28"/>
          <w:lang w:val="en-US" w:eastAsia="zh-CN"/>
        </w:rPr>
        <w:t>18</w:t>
      </w:r>
      <w:r>
        <w:rPr>
          <w:rFonts w:hint="eastAsia" w:ascii="仿宋_GB2312" w:eastAsia="仿宋_GB2312"/>
          <w:kern w:val="0"/>
          <w:sz w:val="28"/>
          <w:szCs w:val="28"/>
        </w:rPr>
        <w:t>人</w:t>
      </w:r>
      <w:r>
        <w:rPr>
          <w:rFonts w:hint="eastAsia" w:ascii="仿宋_GB2312" w:eastAsia="仿宋_GB2312" w:cs="Times New Roman"/>
          <w:sz w:val="28"/>
          <w:szCs w:val="28"/>
        </w:rPr>
        <w:t>；离退休人员1人，其中：离休人员0人，退休人员1人</w:t>
      </w:r>
      <w:r>
        <w:rPr>
          <w:rFonts w:hint="eastAsia" w:ascii="仿宋_GB2312" w:eastAsia="仿宋_GB2312"/>
          <w:kern w:val="0"/>
          <w:sz w:val="28"/>
          <w:szCs w:val="28"/>
        </w:rPr>
        <w:t>。</w:t>
      </w:r>
    </w:p>
    <w:p w14:paraId="1AF3C790">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9264895">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2598.54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239.41</w:t>
      </w:r>
      <w:r>
        <w:rPr>
          <w:rFonts w:hint="eastAsia" w:ascii="仿宋_GB2312" w:eastAsia="仿宋_GB2312"/>
          <w:sz w:val="28"/>
          <w:szCs w:val="28"/>
        </w:rPr>
        <w:t>万元，增长</w:t>
      </w:r>
      <w:r>
        <w:rPr>
          <w:rFonts w:hint="eastAsia" w:ascii="仿宋_GB2312" w:eastAsia="仿宋_GB2312"/>
          <w:sz w:val="28"/>
          <w:szCs w:val="28"/>
          <w:lang w:val="en-US" w:eastAsia="zh-CN"/>
        </w:rPr>
        <w:t>10.15</w:t>
      </w:r>
      <w:r>
        <w:rPr>
          <w:rFonts w:hint="eastAsia" w:ascii="仿宋_GB2312" w:eastAsia="仿宋_GB2312"/>
          <w:sz w:val="28"/>
          <w:szCs w:val="28"/>
        </w:rPr>
        <w:t>%。</w:t>
      </w:r>
    </w:p>
    <w:p w14:paraId="78D6B74F">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647E1912">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2291.26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67.87</w:t>
      </w:r>
      <w:r>
        <w:rPr>
          <w:rFonts w:hint="eastAsia" w:ascii="仿宋_GB2312" w:eastAsia="仿宋_GB2312"/>
          <w:sz w:val="28"/>
          <w:szCs w:val="28"/>
        </w:rPr>
        <w:t>万元，下降</w:t>
      </w:r>
      <w:r>
        <w:rPr>
          <w:rFonts w:hint="eastAsia" w:ascii="仿宋_GB2312" w:eastAsia="仿宋_GB2312"/>
          <w:sz w:val="28"/>
          <w:szCs w:val="28"/>
          <w:lang w:val="en-US" w:eastAsia="zh-CN"/>
        </w:rPr>
        <w:t>2.88</w:t>
      </w:r>
      <w:r>
        <w:rPr>
          <w:rFonts w:hint="eastAsia" w:ascii="仿宋_GB2312" w:eastAsia="仿宋_GB2312"/>
          <w:sz w:val="28"/>
          <w:szCs w:val="28"/>
        </w:rPr>
        <w:t>%。</w:t>
      </w:r>
    </w:p>
    <w:p w14:paraId="4E62984F">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2291.26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2291.26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C8F4F34">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E880D51">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0945F02">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6949A8B">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52F7359">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7DE3348">
      <w:pPr>
        <w:pStyle w:val="3"/>
        <w:jc w:val="center"/>
        <w:rPr>
          <w:rFonts w:hint="eastAsia"/>
        </w:rPr>
      </w:pPr>
      <w:r>
        <w:rPr>
          <w:rFonts w:hint="eastAsia" w:ascii="仿宋_GB2312" w:eastAsia="仿宋_GB2312"/>
          <w:color w:val="000000"/>
          <w:sz w:val="32"/>
        </w:rPr>
        <w:t>图1：收入决算</w:t>
      </w:r>
    </w:p>
    <w:p w14:paraId="478F9C1F">
      <w:pPr>
        <w:pStyle w:val="2"/>
        <w:ind w:firstLine="420"/>
        <w:jc w:val="center"/>
      </w:pPr>
      <w:r>
        <w:drawing>
          <wp:inline distT="0" distB="0" distL="114300" distR="114300">
            <wp:extent cx="4846955" cy="2743835"/>
            <wp:effectExtent l="4445" t="4445" r="6350" b="1397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12EFC51">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D295459">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2349.78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1687.10</w:t>
      </w:r>
      <w:r>
        <w:rPr>
          <w:rFonts w:hint="eastAsia" w:ascii="仿宋_GB2312" w:eastAsia="仿宋_GB2312"/>
          <w:sz w:val="28"/>
          <w:szCs w:val="28"/>
        </w:rPr>
        <w:t>万元，增长</w:t>
      </w:r>
      <w:r>
        <w:rPr>
          <w:rFonts w:hint="eastAsia" w:ascii="仿宋_GB2312" w:eastAsia="仿宋_GB2312"/>
          <w:sz w:val="28"/>
          <w:szCs w:val="28"/>
          <w:lang w:val="en-US" w:eastAsia="zh-CN"/>
        </w:rPr>
        <w:t>254.59</w:t>
      </w:r>
      <w:r>
        <w:rPr>
          <w:rFonts w:hint="eastAsia" w:ascii="仿宋_GB2312" w:eastAsia="仿宋_GB2312"/>
          <w:sz w:val="28"/>
          <w:szCs w:val="28"/>
        </w:rPr>
        <w:t>%，其中：基本支出</w:t>
      </w:r>
      <w:r>
        <w:rPr>
          <w:rFonts w:ascii="仿宋_GB2312" w:eastAsia="仿宋_GB2312"/>
          <w:sz w:val="28"/>
          <w:szCs w:val="28"/>
        </w:rPr>
        <w:t>662.2</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eastAsia="zh-CN"/>
        </w:rPr>
        <w:t>28.18</w:t>
      </w:r>
      <w:r>
        <w:rPr>
          <w:rFonts w:hint="eastAsia" w:ascii="仿宋_GB2312" w:eastAsia="仿宋_GB2312"/>
          <w:sz w:val="28"/>
          <w:szCs w:val="28"/>
        </w:rPr>
        <w:t>%；项目支出</w:t>
      </w:r>
      <w:r>
        <w:rPr>
          <w:rFonts w:ascii="仿宋_GB2312" w:eastAsia="仿宋_GB2312"/>
          <w:sz w:val="28"/>
          <w:szCs w:val="28"/>
        </w:rPr>
        <w:t>1687.58</w:t>
      </w:r>
      <w:r>
        <w:rPr>
          <w:rFonts w:hint="eastAsia" w:ascii="仿宋_GB2312" w:eastAsia="仿宋_GB2312"/>
          <w:sz w:val="28"/>
          <w:szCs w:val="28"/>
        </w:rPr>
        <w:t>万元，占支出合计的</w:t>
      </w:r>
      <w:r>
        <w:rPr>
          <w:rFonts w:hint="eastAsia" w:ascii="仿宋_GB2312" w:eastAsia="仿宋_GB2312"/>
          <w:sz w:val="28"/>
          <w:szCs w:val="28"/>
          <w:lang w:eastAsia="zh-CN"/>
        </w:rPr>
        <w:t>71.8</w:t>
      </w:r>
      <w:r>
        <w:rPr>
          <w:rFonts w:hint="eastAsia" w:ascii="仿宋_GB2312" w:eastAsia="仿宋_GB2312"/>
          <w:sz w:val="28"/>
          <w:szCs w:val="28"/>
          <w:lang w:val="en-US" w:eastAsia="zh-CN"/>
        </w:rPr>
        <w:t>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917B913">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0E9609DD">
      <w:pPr>
        <w:jc w:val="center"/>
        <w:rPr>
          <w:rFonts w:ascii="黑体" w:eastAsia="黑体"/>
          <w:b/>
          <w:sz w:val="28"/>
          <w:szCs w:val="28"/>
        </w:rPr>
      </w:pPr>
      <w:r>
        <w:drawing>
          <wp:inline distT="0" distB="0" distL="114300" distR="114300">
            <wp:extent cx="4572000" cy="2743200"/>
            <wp:effectExtent l="4445" t="4445" r="5080" b="5080"/>
            <wp:docPr id="3"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73DE723">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CCCA76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2598.54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239.41</w:t>
      </w:r>
      <w:r>
        <w:rPr>
          <w:rFonts w:hint="eastAsia" w:ascii="仿宋_GB2312" w:eastAsia="仿宋_GB2312"/>
          <w:sz w:val="28"/>
          <w:szCs w:val="28"/>
        </w:rPr>
        <w:t>万元，增长</w:t>
      </w:r>
      <w:r>
        <w:rPr>
          <w:rFonts w:hint="eastAsia" w:ascii="仿宋_GB2312" w:eastAsia="仿宋_GB2312"/>
          <w:sz w:val="28"/>
          <w:szCs w:val="28"/>
          <w:lang w:val="en-US" w:eastAsia="zh-CN"/>
        </w:rPr>
        <w:t>10.15</w:t>
      </w:r>
      <w:r>
        <w:rPr>
          <w:rFonts w:hint="eastAsia" w:ascii="仿宋_GB2312" w:eastAsia="仿宋_GB2312"/>
          <w:sz w:val="28"/>
          <w:szCs w:val="28"/>
        </w:rPr>
        <w:t>%。主要原因：</w:t>
      </w:r>
      <w:r>
        <w:rPr>
          <w:rFonts w:hint="eastAsia" w:ascii="仿宋_GB2312" w:hAnsi="Times New Roman" w:eastAsia="仿宋_GB2312"/>
          <w:sz w:val="28"/>
          <w:szCs w:val="28"/>
        </w:rPr>
        <w:t>完成上年受疫情影响结转和追加到本年执行的项目支出。</w:t>
      </w:r>
    </w:p>
    <w:p w14:paraId="7F5E242A">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63AB1303">
      <w:pPr>
        <w:tabs>
          <w:tab w:val="center" w:pos="6979"/>
        </w:tabs>
        <w:autoSpaceDE/>
        <w:autoSpaceDN/>
        <w:adjustRightInd/>
        <w:spacing w:line="580" w:lineRule="exact"/>
        <w:ind w:firstLine="420" w:firstLineChars="15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099BC597">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2349.78</w:t>
      </w:r>
      <w:r>
        <w:rPr>
          <w:rFonts w:hint="eastAsia" w:ascii="仿宋_GB2312" w:eastAsia="仿宋_GB2312"/>
          <w:sz w:val="28"/>
          <w:szCs w:val="28"/>
        </w:rPr>
        <w:t>万元，主要用于以下方面（按大类）：科学技术支出</w:t>
      </w:r>
      <w:r>
        <w:rPr>
          <w:rFonts w:hint="eastAsia" w:ascii="仿宋_GB2312" w:eastAsia="仿宋_GB2312"/>
          <w:sz w:val="28"/>
          <w:szCs w:val="28"/>
          <w:lang w:val="en-US" w:eastAsia="zh-CN"/>
        </w:rPr>
        <w:t>2228.00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94.82</w:t>
      </w:r>
      <w:r>
        <w:rPr>
          <w:rFonts w:hint="eastAsia" w:ascii="仿宋_GB2312" w:eastAsia="仿宋_GB2312"/>
          <w:sz w:val="28"/>
          <w:szCs w:val="28"/>
        </w:rPr>
        <w:t>%；社会保障和就业支出</w:t>
      </w:r>
      <w:r>
        <w:rPr>
          <w:rFonts w:hint="eastAsia" w:ascii="仿宋_GB2312" w:eastAsia="仿宋_GB2312"/>
          <w:sz w:val="28"/>
          <w:szCs w:val="28"/>
          <w:lang w:val="en-US" w:eastAsia="zh-CN"/>
        </w:rPr>
        <w:t>73.21万元，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3.11</w:t>
      </w:r>
      <w:r>
        <w:rPr>
          <w:rFonts w:hint="eastAsia" w:ascii="仿宋_GB2312" w:eastAsia="仿宋_GB2312"/>
          <w:sz w:val="28"/>
          <w:szCs w:val="28"/>
        </w:rPr>
        <w:t>%；卫生健康支出</w:t>
      </w:r>
      <w:r>
        <w:rPr>
          <w:rFonts w:hint="eastAsia" w:ascii="仿宋_GB2312" w:eastAsia="仿宋_GB2312"/>
          <w:sz w:val="28"/>
          <w:szCs w:val="28"/>
          <w:lang w:val="en-US" w:eastAsia="zh-CN"/>
        </w:rPr>
        <w:t>48.57万元，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2.07</w:t>
      </w:r>
      <w:r>
        <w:rPr>
          <w:rFonts w:hint="eastAsia" w:ascii="仿宋_GB2312" w:eastAsia="仿宋_GB2312"/>
          <w:sz w:val="28"/>
          <w:szCs w:val="28"/>
        </w:rPr>
        <w:t>%。</w:t>
      </w:r>
    </w:p>
    <w:p w14:paraId="1EAEB176">
      <w:pPr>
        <w:tabs>
          <w:tab w:val="center" w:pos="6979"/>
        </w:tabs>
        <w:autoSpaceDE/>
        <w:autoSpaceDN/>
        <w:adjustRightInd/>
        <w:spacing w:line="580" w:lineRule="exact"/>
        <w:ind w:firstLine="420" w:firstLineChars="15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7C7B3250">
      <w:pPr>
        <w:tabs>
          <w:tab w:val="center" w:pos="6979"/>
        </w:tabs>
        <w:autoSpaceDE/>
        <w:autoSpaceDN/>
        <w:adjustRightInd/>
        <w:spacing w:line="580" w:lineRule="exact"/>
        <w:ind w:firstLine="420" w:firstLineChars="150"/>
        <w:jc w:val="left"/>
        <w:rPr>
          <w:rFonts w:hint="eastAsia" w:ascii="仿宋_GB2312" w:eastAsia="仿宋_GB2312"/>
          <w:sz w:val="28"/>
          <w:szCs w:val="28"/>
        </w:rPr>
      </w:pPr>
      <w:r>
        <w:rPr>
          <w:rFonts w:hint="eastAsia" w:ascii="仿宋_GB2312" w:eastAsia="仿宋_GB2312"/>
          <w:sz w:val="28"/>
          <w:szCs w:val="28"/>
        </w:rPr>
        <w:t>1、“科学技术支出”（类）202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2228.00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233.06</w:t>
      </w:r>
      <w:r>
        <w:rPr>
          <w:rFonts w:hint="eastAsia" w:ascii="仿宋_GB2312" w:eastAsia="仿宋_GB2312"/>
          <w:sz w:val="28"/>
          <w:szCs w:val="28"/>
        </w:rPr>
        <w:t>万元，增长</w:t>
      </w:r>
      <w:r>
        <w:rPr>
          <w:rFonts w:hint="eastAsia" w:ascii="仿宋_GB2312" w:eastAsia="仿宋_GB2312"/>
          <w:sz w:val="28"/>
          <w:szCs w:val="28"/>
          <w:lang w:val="en-US" w:eastAsia="zh-CN"/>
        </w:rPr>
        <w:t>11.68</w:t>
      </w:r>
      <w:r>
        <w:rPr>
          <w:rFonts w:hint="eastAsia" w:ascii="仿宋_GB2312" w:eastAsia="仿宋_GB2312"/>
          <w:sz w:val="28"/>
          <w:szCs w:val="28"/>
        </w:rPr>
        <w:t>%。其中：</w:t>
      </w:r>
    </w:p>
    <w:p w14:paraId="75BF05DD">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“其他科学技术支出”（款）202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2228.00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233.06</w:t>
      </w:r>
      <w:r>
        <w:rPr>
          <w:rFonts w:hint="eastAsia" w:ascii="仿宋_GB2312" w:eastAsia="仿宋_GB2312"/>
          <w:sz w:val="28"/>
          <w:szCs w:val="28"/>
        </w:rPr>
        <w:t>万元，增长</w:t>
      </w:r>
      <w:r>
        <w:rPr>
          <w:rFonts w:hint="eastAsia" w:ascii="仿宋_GB2312" w:eastAsia="仿宋_GB2312"/>
          <w:sz w:val="28"/>
          <w:szCs w:val="28"/>
          <w:lang w:val="en-US" w:eastAsia="zh-CN"/>
        </w:rPr>
        <w:t>11.68</w:t>
      </w:r>
      <w:r>
        <w:rPr>
          <w:rFonts w:hint="eastAsia" w:ascii="仿宋_GB2312" w:eastAsia="仿宋_GB2312"/>
          <w:sz w:val="28"/>
          <w:szCs w:val="28"/>
        </w:rPr>
        <w:t>%。主要原因：</w:t>
      </w:r>
      <w:r>
        <w:rPr>
          <w:rFonts w:hint="eastAsia" w:ascii="仿宋_GB2312" w:hAnsi="Times New Roman" w:eastAsia="仿宋_GB2312"/>
          <w:sz w:val="28"/>
          <w:szCs w:val="28"/>
        </w:rPr>
        <w:t>完成上年受疫情影响结转和追加到本年执行的项目支出。</w:t>
      </w:r>
      <w:bookmarkStart w:id="0" w:name="_GoBack"/>
      <w:bookmarkEnd w:id="0"/>
    </w:p>
    <w:p w14:paraId="49596EB4">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73.21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24.02</w:t>
      </w:r>
      <w:r>
        <w:rPr>
          <w:rFonts w:hint="eastAsia" w:ascii="仿宋_GB2312" w:eastAsia="仿宋_GB2312"/>
          <w:sz w:val="28"/>
          <w:szCs w:val="28"/>
        </w:rPr>
        <w:t>万元，下降</w:t>
      </w:r>
      <w:r>
        <w:rPr>
          <w:rFonts w:hint="eastAsia" w:ascii="仿宋_GB2312" w:eastAsia="仿宋_GB2312"/>
          <w:sz w:val="28"/>
          <w:szCs w:val="28"/>
          <w:lang w:val="en-US" w:eastAsia="zh-CN"/>
        </w:rPr>
        <w:t>24.70</w:t>
      </w:r>
      <w:r>
        <w:rPr>
          <w:rFonts w:hint="eastAsia" w:ascii="仿宋_GB2312" w:eastAsia="仿宋_GB2312"/>
          <w:sz w:val="28"/>
          <w:szCs w:val="28"/>
        </w:rPr>
        <w:t>%。其中：</w:t>
      </w:r>
    </w:p>
    <w:p w14:paraId="5F9024C6">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73.21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24.02</w:t>
      </w:r>
      <w:r>
        <w:rPr>
          <w:rFonts w:hint="eastAsia" w:ascii="仿宋_GB2312" w:eastAsia="仿宋_GB2312"/>
          <w:sz w:val="28"/>
          <w:szCs w:val="28"/>
        </w:rPr>
        <w:t>万元，下降</w:t>
      </w:r>
      <w:r>
        <w:rPr>
          <w:rFonts w:hint="eastAsia" w:ascii="仿宋_GB2312" w:eastAsia="仿宋_GB2312"/>
          <w:sz w:val="28"/>
          <w:szCs w:val="28"/>
          <w:lang w:val="en-US" w:eastAsia="zh-CN"/>
        </w:rPr>
        <w:t>24.70</w:t>
      </w:r>
      <w:r>
        <w:rPr>
          <w:rFonts w:hint="eastAsia" w:ascii="仿宋_GB2312" w:eastAsia="仿宋_GB2312"/>
          <w:sz w:val="28"/>
          <w:szCs w:val="28"/>
        </w:rPr>
        <w:t>%。主要原因：</w:t>
      </w:r>
      <w:r>
        <w:rPr>
          <w:rFonts w:hint="eastAsia" w:ascii="仿宋_GB2312" w:eastAsia="仿宋_GB2312"/>
          <w:sz w:val="28"/>
          <w:szCs w:val="28"/>
          <w:lang w:eastAsia="zh-CN"/>
        </w:rPr>
        <w:t>工资结构调整，减少养老支出</w:t>
      </w:r>
      <w:r>
        <w:rPr>
          <w:rFonts w:hint="eastAsia" w:ascii="仿宋_GB2312" w:eastAsia="仿宋_GB2312"/>
          <w:sz w:val="28"/>
          <w:szCs w:val="28"/>
        </w:rPr>
        <w:t>。</w:t>
      </w:r>
    </w:p>
    <w:p w14:paraId="7F9A6F84">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48.57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26.75</w:t>
      </w:r>
      <w:r>
        <w:rPr>
          <w:rFonts w:hint="eastAsia" w:ascii="仿宋_GB2312" w:eastAsia="仿宋_GB2312"/>
          <w:sz w:val="28"/>
          <w:szCs w:val="28"/>
        </w:rPr>
        <w:t>万元，下降</w:t>
      </w:r>
      <w:r>
        <w:rPr>
          <w:rFonts w:hint="eastAsia" w:ascii="仿宋_GB2312" w:eastAsia="仿宋_GB2312"/>
          <w:sz w:val="28"/>
          <w:szCs w:val="28"/>
          <w:lang w:val="en-US" w:eastAsia="zh-CN"/>
        </w:rPr>
        <w:t>35.52</w:t>
      </w:r>
      <w:r>
        <w:rPr>
          <w:rFonts w:hint="eastAsia" w:ascii="仿宋_GB2312" w:eastAsia="仿宋_GB2312"/>
          <w:sz w:val="28"/>
          <w:szCs w:val="28"/>
        </w:rPr>
        <w:t>%。其中：</w:t>
      </w:r>
    </w:p>
    <w:p w14:paraId="6B89B24F">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48.57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26.75</w:t>
      </w:r>
      <w:r>
        <w:rPr>
          <w:rFonts w:hint="eastAsia" w:ascii="仿宋_GB2312" w:eastAsia="仿宋_GB2312"/>
          <w:sz w:val="28"/>
          <w:szCs w:val="28"/>
        </w:rPr>
        <w:t>万元，下降</w:t>
      </w:r>
      <w:r>
        <w:rPr>
          <w:rFonts w:hint="eastAsia" w:ascii="仿宋_GB2312" w:eastAsia="仿宋_GB2312"/>
          <w:sz w:val="28"/>
          <w:szCs w:val="28"/>
          <w:lang w:val="en-US" w:eastAsia="zh-CN"/>
        </w:rPr>
        <w:t>35.52</w:t>
      </w:r>
      <w:r>
        <w:rPr>
          <w:rFonts w:hint="eastAsia" w:ascii="仿宋_GB2312" w:eastAsia="仿宋_GB2312"/>
          <w:sz w:val="28"/>
          <w:szCs w:val="28"/>
        </w:rPr>
        <w:t>%。主要原因：</w:t>
      </w:r>
      <w:r>
        <w:rPr>
          <w:rFonts w:hint="eastAsia" w:ascii="仿宋_GB2312" w:eastAsia="仿宋_GB2312"/>
          <w:sz w:val="28"/>
          <w:szCs w:val="28"/>
          <w:lang w:eastAsia="zh-CN"/>
        </w:rPr>
        <w:t>工资结构调整，减少医疗支出</w:t>
      </w:r>
      <w:r>
        <w:rPr>
          <w:rFonts w:hint="eastAsia" w:ascii="仿宋_GB2312" w:eastAsia="仿宋_GB2312"/>
          <w:sz w:val="28"/>
          <w:szCs w:val="28"/>
        </w:rPr>
        <w:t>。</w:t>
      </w:r>
    </w:p>
    <w:p w14:paraId="79DEF23E">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45349FC4">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本年度无此项支出。</w:t>
      </w:r>
    </w:p>
    <w:p w14:paraId="56840354">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041FCA6">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AC35E51">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7AFDBE31">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662.2</w:t>
      </w:r>
      <w:r>
        <w:rPr>
          <w:rFonts w:hint="eastAsia" w:ascii="仿宋_GB2312" w:eastAsia="仿宋_GB2312"/>
          <w:sz w:val="28"/>
          <w:szCs w:val="28"/>
          <w:lang w:val="en-US" w:eastAsia="zh-CN"/>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FDB971E">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6DC41183">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50332271">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3</w:t>
      </w:r>
      <w:r>
        <w:rPr>
          <w:rFonts w:hint="eastAsia" w:ascii="仿宋_GB2312" w:eastAsia="仿宋_GB2312"/>
          <w:sz w:val="28"/>
          <w:szCs w:val="28"/>
        </w:rPr>
        <w:t>年度无此项支出。</w:t>
      </w:r>
    </w:p>
    <w:p w14:paraId="64D1FA48">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38F30EBC">
      <w:pPr>
        <w:ind w:firstLine="537" w:firstLineChars="192"/>
        <w:rPr>
          <w:rFonts w:hint="eastAsia" w:ascii="仿宋_GB2312" w:eastAsia="仿宋_GB2312"/>
          <w:sz w:val="28"/>
          <w:szCs w:val="28"/>
        </w:rPr>
      </w:pPr>
      <w:r>
        <w:rPr>
          <w:rFonts w:hint="eastAsia" w:ascii="仿宋_GB2312" w:eastAsia="仿宋_GB2312"/>
          <w:sz w:val="28"/>
          <w:szCs w:val="28"/>
          <w:lang w:eastAsia="zh-CN"/>
        </w:rPr>
        <w:t>本</w:t>
      </w:r>
      <w:r>
        <w:rPr>
          <w:rFonts w:hint="eastAsia" w:ascii="仿宋_GB2312" w:eastAsia="仿宋_GB2312"/>
          <w:sz w:val="28"/>
          <w:szCs w:val="28"/>
        </w:rPr>
        <w:t>单位不在机关运行经费统计范围之内。</w:t>
      </w:r>
    </w:p>
    <w:p w14:paraId="2AC5771D">
      <w:pPr>
        <w:ind w:left="540"/>
        <w:rPr>
          <w:rFonts w:ascii="黑体" w:eastAsia="黑体"/>
          <w:sz w:val="28"/>
          <w:szCs w:val="28"/>
        </w:rPr>
      </w:pPr>
      <w:r>
        <w:rPr>
          <w:rFonts w:hint="eastAsia" w:ascii="黑体" w:eastAsia="黑体"/>
          <w:sz w:val="28"/>
          <w:szCs w:val="28"/>
        </w:rPr>
        <w:t>三、政府采购支出情况</w:t>
      </w:r>
    </w:p>
    <w:p w14:paraId="68B2A35E">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720.04</w:t>
      </w:r>
      <w:r>
        <w:rPr>
          <w:rFonts w:hint="eastAsia" w:ascii="仿宋_GB2312" w:eastAsia="仿宋_GB2312"/>
          <w:sz w:val="28"/>
          <w:szCs w:val="28"/>
        </w:rPr>
        <w:t>万元，其中：政府采购货物支出</w:t>
      </w:r>
      <w:r>
        <w:rPr>
          <w:rFonts w:ascii="仿宋_GB2312" w:eastAsia="仿宋_GB2312"/>
          <w:sz w:val="28"/>
          <w:szCs w:val="28"/>
        </w:rPr>
        <w:t>0.92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719.12</w:t>
      </w:r>
      <w:r>
        <w:rPr>
          <w:rFonts w:hint="eastAsia" w:ascii="仿宋_GB2312" w:eastAsia="仿宋_GB2312"/>
          <w:sz w:val="28"/>
          <w:szCs w:val="28"/>
        </w:rPr>
        <w:t>万元。授予中小企业合同金额</w:t>
      </w:r>
      <w:r>
        <w:rPr>
          <w:rFonts w:ascii="仿宋_GB2312" w:eastAsia="仿宋_GB2312"/>
          <w:sz w:val="28"/>
          <w:szCs w:val="28"/>
        </w:rPr>
        <w:t>568.3</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78.92</w:t>
      </w:r>
      <w:r>
        <w:rPr>
          <w:rFonts w:hint="eastAsia" w:ascii="仿宋_GB2312" w:eastAsia="仿宋_GB2312"/>
          <w:sz w:val="28"/>
          <w:szCs w:val="28"/>
        </w:rPr>
        <w:t>%，其中：授予小微企业合同金额</w:t>
      </w:r>
      <w:r>
        <w:rPr>
          <w:rFonts w:ascii="仿宋_GB2312" w:eastAsia="仿宋_GB2312"/>
          <w:sz w:val="28"/>
          <w:szCs w:val="28"/>
        </w:rPr>
        <w:t>568.3</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78.92</w:t>
      </w:r>
      <w:r>
        <w:rPr>
          <w:rFonts w:hint="eastAsia" w:ascii="仿宋_GB2312" w:eastAsia="仿宋_GB2312"/>
          <w:sz w:val="28"/>
          <w:szCs w:val="28"/>
        </w:rPr>
        <w:t>%。</w:t>
      </w:r>
    </w:p>
    <w:p w14:paraId="7A24F042">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FBB6C41">
      <w:pPr>
        <w:ind w:firstLine="560" w:firstLineChars="200"/>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万元。截至12月31日，</w:t>
      </w:r>
      <w:r>
        <w:rPr>
          <w:rFonts w:hint="eastAsia" w:ascii="仿宋_GB2312" w:eastAsia="仿宋_GB2312"/>
          <w:sz w:val="28"/>
          <w:szCs w:val="28"/>
          <w:lang w:val="en-US" w:eastAsia="zh-CN"/>
        </w:rPr>
        <w:t>中关村政府采购促进中心</w:t>
      </w:r>
      <w:r>
        <w:rPr>
          <w:rFonts w:hint="eastAsia" w:ascii="仿宋_GB2312" w:eastAsia="仿宋_GB2312"/>
          <w:sz w:val="28"/>
          <w:szCs w:val="28"/>
        </w:rPr>
        <w:t>共有车辆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19DB28B1">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B2FD52D">
      <w:pPr>
        <w:ind w:firstLine="560" w:firstLineChars="200"/>
        <w:jc w:val="left"/>
        <w:rPr>
          <w:rFonts w:ascii="仿宋_GB2312" w:eastAsia="仿宋_GB2312"/>
          <w:sz w:val="28"/>
          <w:szCs w:val="28"/>
        </w:rPr>
      </w:pPr>
      <w:r>
        <w:rPr>
          <w:rFonts w:hint="eastAsia" w:ascii="仿宋_GB2312" w:eastAsia="仿宋_GB2312"/>
          <w:sz w:val="28"/>
          <w:szCs w:val="28"/>
        </w:rPr>
        <w:t>本单位不属于政府购买服务购买主体。</w:t>
      </w:r>
    </w:p>
    <w:p w14:paraId="4FEC936D">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0ACD5CE">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0526751">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5FE6167">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53BEDAE">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C630F80">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CC9380C">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ADD5E38">
      <w:pPr>
        <w:ind w:firstLine="420" w:firstLineChars="150"/>
        <w:rPr>
          <w:rFonts w:hint="eastAsia" w:ascii="仿宋_GB2312" w:eastAsia="仿宋_GB2312"/>
          <w:sz w:val="28"/>
          <w:szCs w:val="28"/>
        </w:rPr>
      </w:pPr>
      <w:r>
        <w:rPr>
          <w:rFonts w:hint="eastAsia" w:ascii="仿宋_GB2312" w:eastAsia="仿宋_GB2312"/>
          <w:sz w:val="28"/>
          <w:szCs w:val="28"/>
        </w:rPr>
        <w:t>7.支出功能分类项级科目名词解释</w:t>
      </w:r>
    </w:p>
    <w:p w14:paraId="6152151A">
      <w:pPr>
        <w:ind w:firstLine="560" w:firstLineChars="200"/>
        <w:rPr>
          <w:rFonts w:hint="eastAsia" w:ascii="仿宋_GB2312" w:eastAsia="仿宋_GB2312"/>
          <w:sz w:val="28"/>
          <w:szCs w:val="28"/>
        </w:rPr>
      </w:pPr>
      <w:r>
        <w:rPr>
          <w:rFonts w:hint="eastAsia" w:ascii="仿宋_GB2312" w:eastAsia="仿宋_GB2312"/>
          <w:sz w:val="28"/>
          <w:szCs w:val="28"/>
        </w:rPr>
        <w:t>（1）科学技术支出（类）其他科学技术支出（款）其他科学技术支出（项）（2069999）：反映其他科学技术支出中除以上各项外用于科技方面支出。</w:t>
      </w:r>
    </w:p>
    <w:p w14:paraId="233A5A80">
      <w:pPr>
        <w:ind w:firstLine="560" w:firstLineChars="200"/>
        <w:rPr>
          <w:rFonts w:hint="eastAsia" w:ascii="仿宋_GB2312" w:eastAsia="仿宋_GB2312"/>
          <w:sz w:val="28"/>
          <w:szCs w:val="28"/>
        </w:rPr>
      </w:pPr>
      <w:r>
        <w:rPr>
          <w:rFonts w:hint="eastAsia" w:ascii="仿宋_GB2312" w:eastAsia="仿宋_GB2312"/>
          <w:sz w:val="28"/>
          <w:szCs w:val="28"/>
        </w:rPr>
        <w:t>（2）社会保障和就业支出（类）行政事业单位养老支出（款）事业单位离退休（项）（2080502）：反映事业单位开支的离退休经费。</w:t>
      </w:r>
    </w:p>
    <w:p w14:paraId="19898E1E">
      <w:pPr>
        <w:ind w:firstLine="560" w:firstLineChars="200"/>
        <w:rPr>
          <w:rFonts w:ascii="仿宋_GB2312" w:eastAsia="仿宋_GB2312"/>
          <w:sz w:val="28"/>
          <w:szCs w:val="28"/>
        </w:rPr>
      </w:pPr>
      <w:r>
        <w:rPr>
          <w:rFonts w:hint="eastAsia" w:ascii="仿宋_GB2312" w:eastAsia="仿宋_GB2312"/>
          <w:sz w:val="28"/>
          <w:szCs w:val="28"/>
        </w:rPr>
        <w:t>（3）社会保障和就业支出（类）行政事业单位养老支出（款）机关事业单位基本养老保险缴费支出（项）（2080505）：反映机关事业单位实施养老保险制度由单位缴纳的基本养老保险费支出。</w:t>
      </w:r>
    </w:p>
    <w:p w14:paraId="585A724D">
      <w:pPr>
        <w:ind w:firstLine="560" w:firstLineChars="200"/>
        <w:rPr>
          <w:rFonts w:hint="eastAsia" w:ascii="仿宋_GB2312" w:eastAsia="仿宋_GB2312"/>
          <w:sz w:val="28"/>
          <w:szCs w:val="28"/>
        </w:rPr>
      </w:pPr>
      <w:r>
        <w:rPr>
          <w:rFonts w:hint="eastAsia" w:ascii="仿宋_GB2312" w:eastAsia="仿宋_GB2312"/>
          <w:sz w:val="28"/>
          <w:szCs w:val="28"/>
        </w:rPr>
        <w:t>（4）社会保障和就业支出（类）行政事业单位养老支出（款）机关事业单位职业年金缴费支出（项）（2080506）：反映机关事业单位实施养老保险制度由单位实际缴纳的职业年金支出。</w:t>
      </w:r>
    </w:p>
    <w:p w14:paraId="28BD3453">
      <w:pPr>
        <w:ind w:firstLine="560" w:firstLineChars="200"/>
        <w:rPr>
          <w:rFonts w:ascii="仿宋_GB2312" w:eastAsia="仿宋_GB2312"/>
          <w:sz w:val="28"/>
          <w:szCs w:val="28"/>
        </w:rPr>
      </w:pPr>
      <w:r>
        <w:rPr>
          <w:rFonts w:hint="eastAsia" w:ascii="仿宋_GB2312" w:eastAsia="仿宋_GB2312"/>
          <w:sz w:val="28"/>
          <w:szCs w:val="28"/>
        </w:rPr>
        <w:t>（5）卫生健康支出（类）行政事业单位医疗（款）事业单位医疗（项）（2101102）：反映财政部门安排的事业单位基本医疗保险缴费经费，未参加医疗保险的事业单位的公费医疗经费，按国家规定享受离休人员待遇的医疗经费。</w:t>
      </w:r>
    </w:p>
    <w:p w14:paraId="2BAAE083">
      <w:pPr>
        <w:ind w:firstLine="560" w:firstLineChars="200"/>
        <w:rPr>
          <w:rFonts w:ascii="仿宋_GB2312" w:eastAsia="仿宋_GB2312"/>
          <w:sz w:val="28"/>
          <w:szCs w:val="28"/>
        </w:rPr>
      </w:pPr>
      <w:r>
        <w:rPr>
          <w:rFonts w:hint="eastAsia" w:ascii="仿宋_GB2312" w:eastAsia="仿宋_GB2312"/>
          <w:sz w:val="28"/>
          <w:szCs w:val="28"/>
        </w:rPr>
        <w:t>（6）卫生健康支出（类）行政事业单位医疗（款）公务员医疗补助（项）（2101103）：反映财政部门安排的公务员医疗补助经费。</w:t>
      </w:r>
    </w:p>
    <w:p w14:paraId="40D440F9">
      <w:pPr>
        <w:ind w:firstLine="632" w:firstLineChars="200"/>
        <w:rPr>
          <w:rFonts w:ascii="仿宋_GB2312" w:eastAsia="仿宋_GB2312"/>
          <w:b/>
          <w:color w:val="000000"/>
          <w:spacing w:val="-2"/>
          <w:sz w:val="32"/>
          <w:szCs w:val="32"/>
        </w:rPr>
      </w:pPr>
    </w:p>
    <w:p w14:paraId="15960A6F">
      <w:pPr>
        <w:ind w:firstLine="640" w:firstLineChars="200"/>
        <w:jc w:val="center"/>
        <w:rPr>
          <w:rFonts w:ascii="黑体" w:eastAsia="黑体"/>
          <w:sz w:val="32"/>
          <w:szCs w:val="32"/>
        </w:rPr>
      </w:pPr>
    </w:p>
    <w:p w14:paraId="1F495B43">
      <w:pPr>
        <w:ind w:firstLine="640" w:firstLineChars="200"/>
        <w:jc w:val="center"/>
        <w:rPr>
          <w:rFonts w:ascii="黑体" w:eastAsia="黑体"/>
          <w:sz w:val="32"/>
          <w:szCs w:val="32"/>
        </w:rPr>
      </w:pPr>
    </w:p>
    <w:p w14:paraId="30DF2E31">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1F3771C8">
      <w:pPr>
        <w:ind w:firstLine="560" w:firstLineChars="200"/>
        <w:rPr>
          <w:rFonts w:ascii="黑体" w:eastAsia="黑体"/>
          <w:sz w:val="28"/>
          <w:szCs w:val="28"/>
          <w:highlight w:val="yellow"/>
        </w:rPr>
      </w:pPr>
    </w:p>
    <w:p w14:paraId="197855A2">
      <w:pPr>
        <w:spacing w:line="480" w:lineRule="exact"/>
        <w:ind w:firstLine="560"/>
        <w:rPr>
          <w:rFonts w:ascii="黑体" w:eastAsia="黑体"/>
          <w:sz w:val="28"/>
          <w:szCs w:val="28"/>
        </w:rPr>
      </w:pPr>
      <w:r>
        <w:rPr>
          <w:rFonts w:hint="eastAsia" w:ascii="黑体" w:eastAsia="黑体"/>
          <w:sz w:val="28"/>
          <w:szCs w:val="28"/>
          <w:lang w:val="en-US"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34C74BC6">
      <w:pPr>
        <w:pStyle w:val="3"/>
        <w:ind w:firstLine="560"/>
      </w:pPr>
    </w:p>
    <w:p w14:paraId="519184FB"/>
    <w:p w14:paraId="620B1212">
      <w:pPr>
        <w:pStyle w:val="3"/>
      </w:pPr>
    </w:p>
    <w:p w14:paraId="214E7238"/>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28D7C">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14:paraId="33004EC7">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F36D7">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76DFFBDC">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006A1">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32A66334">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lNDJlNzJlYmE4ODExOTVkYTJkOGVmMzlhOWNhNm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AEC0734"/>
    <w:rsid w:val="1DEF20B0"/>
    <w:rsid w:val="214243FA"/>
    <w:rsid w:val="21AD613C"/>
    <w:rsid w:val="257A14F5"/>
    <w:rsid w:val="27196C26"/>
    <w:rsid w:val="29EF086F"/>
    <w:rsid w:val="2BDC5A61"/>
    <w:rsid w:val="2EFFE297"/>
    <w:rsid w:val="301437CA"/>
    <w:rsid w:val="349D1F0A"/>
    <w:rsid w:val="34DD0473"/>
    <w:rsid w:val="352717EA"/>
    <w:rsid w:val="433E495C"/>
    <w:rsid w:val="467C2046"/>
    <w:rsid w:val="4AC27CB3"/>
    <w:rsid w:val="4BF72BEF"/>
    <w:rsid w:val="51DB3C59"/>
    <w:rsid w:val="550C0952"/>
    <w:rsid w:val="55762E42"/>
    <w:rsid w:val="558367DB"/>
    <w:rsid w:val="57A7B272"/>
    <w:rsid w:val="58470068"/>
    <w:rsid w:val="5A1720F9"/>
    <w:rsid w:val="5B9C37C2"/>
    <w:rsid w:val="5BA7C654"/>
    <w:rsid w:val="5F4B6600"/>
    <w:rsid w:val="64C0607C"/>
    <w:rsid w:val="65183A9D"/>
    <w:rsid w:val="672E0431"/>
    <w:rsid w:val="676F09E1"/>
    <w:rsid w:val="6E8044B0"/>
    <w:rsid w:val="6FB41447"/>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autoRedefine/>
    <w:qFormat/>
    <w:uiPriority w:val="0"/>
    <w:pPr>
      <w:ind w:firstLine="645"/>
    </w:pPr>
    <w:rPr>
      <w:rFonts w:ascii="仿宋_GB2312" w:hAnsi="Calibri" w:eastAsia="仿宋_GB2312"/>
      <w:sz w:val="32"/>
      <w:szCs w:val="32"/>
    </w:rPr>
  </w:style>
  <w:style w:type="paragraph" w:styleId="6">
    <w:name w:val="Date"/>
    <w:basedOn w:val="1"/>
    <w:next w:val="1"/>
    <w:autoRedefine/>
    <w:qFormat/>
    <w:uiPriority w:val="0"/>
    <w:pPr>
      <w:ind w:left="100" w:leftChars="2500"/>
    </w:pPr>
  </w:style>
  <w:style w:type="paragraph" w:styleId="7">
    <w:name w:val="Balloon Text"/>
    <w:basedOn w:val="1"/>
    <w:autoRedefine/>
    <w:semiHidden/>
    <w:qFormat/>
    <w:uiPriority w:val="0"/>
    <w:rPr>
      <w:sz w:val="18"/>
      <w:szCs w:val="18"/>
    </w:rPr>
  </w:style>
  <w:style w:type="paragraph" w:styleId="8">
    <w:name w:val="footer"/>
    <w:basedOn w:val="1"/>
    <w:link w:val="15"/>
    <w:autoRedefine/>
    <w:qFormat/>
    <w:uiPriority w:val="0"/>
    <w:pPr>
      <w:tabs>
        <w:tab w:val="center" w:pos="4153"/>
        <w:tab w:val="right" w:pos="8306"/>
      </w:tabs>
      <w:snapToGrid w:val="0"/>
      <w:jc w:val="left"/>
    </w:pPr>
    <w:rPr>
      <w:sz w:val="18"/>
      <w:szCs w:val="18"/>
    </w:rPr>
  </w:style>
  <w:style w:type="paragraph" w:styleId="9">
    <w:name w:val="header"/>
    <w:basedOn w:val="1"/>
    <w:link w:val="16"/>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3">
    <w:name w:val="Strong"/>
    <w:autoRedefine/>
    <w:qFormat/>
    <w:uiPriority w:val="0"/>
    <w:rPr>
      <w:b/>
    </w:rPr>
  </w:style>
  <w:style w:type="character" w:styleId="14">
    <w:name w:val="page number"/>
    <w:autoRedefine/>
    <w:qFormat/>
    <w:uiPriority w:val="0"/>
  </w:style>
  <w:style w:type="character" w:customStyle="1" w:styleId="15">
    <w:name w:val="页脚 Char"/>
    <w:link w:val="8"/>
    <w:autoRedefine/>
    <w:qFormat/>
    <w:uiPriority w:val="0"/>
    <w:rPr>
      <w:rFonts w:eastAsia="宋体"/>
      <w:kern w:val="2"/>
      <w:sz w:val="18"/>
      <w:szCs w:val="18"/>
      <w:lang w:val="en-US" w:eastAsia="zh-CN" w:bidi="ar-SA"/>
    </w:rPr>
  </w:style>
  <w:style w:type="character" w:customStyle="1" w:styleId="16">
    <w:name w:val="页眉 Char"/>
    <w:link w:val="9"/>
    <w:autoRedefine/>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autoRedefine/>
    <w:qFormat/>
    <w:uiPriority w:val="0"/>
    <w:rPr>
      <w:rFonts w:ascii="Tahoma" w:hAnsi="Tahoma"/>
      <w:sz w:val="24"/>
      <w:szCs w:val="20"/>
    </w:rPr>
  </w:style>
  <w:style w:type="paragraph" w:customStyle="1" w:styleId="18">
    <w:name w:val="Char1 Char Char Char"/>
    <w:basedOn w:val="1"/>
    <w:autoRedefine/>
    <w:qFormat/>
    <w:uiPriority w:val="0"/>
    <w:pPr>
      <w:widowControl/>
      <w:spacing w:after="160" w:line="240" w:lineRule="exact"/>
      <w:jc w:val="left"/>
    </w:pPr>
    <w:rPr>
      <w:szCs w:val="20"/>
    </w:rPr>
  </w:style>
  <w:style w:type="paragraph" w:customStyle="1" w:styleId="19">
    <w:name w:val="Char"/>
    <w:basedOn w:val="1"/>
    <w:autoRedefine/>
    <w:qFormat/>
    <w:uiPriority w:val="0"/>
    <w:rPr>
      <w:rFonts w:ascii="Tahoma" w:hAnsi="Tahoma"/>
      <w:sz w:val="24"/>
      <w:szCs w:val="20"/>
    </w:rPr>
  </w:style>
  <w:style w:type="paragraph" w:customStyle="1" w:styleId="20">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C:\Users\&#38463;&#26705;&#30340;&#27468;\Desktop\&#25919;&#37319;&#25968;&#25454;&#24213;&#31295;.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收入决算</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01570060436233"/>
                  <c:y val="-0.16518861374833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Sheet1!$A$6:$A$7</c:f>
              <c:strCache>
                <c:ptCount val="2"/>
                <c:pt idx="0">
                  <c:v>财政拨款收入</c:v>
                </c:pt>
                <c:pt idx="1">
                  <c:v>       其他收入</c:v>
                </c:pt>
              </c:strCache>
            </c:strRef>
          </c:cat>
          <c:val>
            <c:numRef>
              <c:f>Sheet1!$B$6:$B$7</c:f>
              <c:numCache>
                <c:formatCode>#,##0.00_ </c:formatCode>
                <c:ptCount val="2"/>
                <c:pt idx="0">
                  <c:v>2359.13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1"/>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1"/>
              <c:layout>
                <c:manualLayout>
                  <c:x val="-0.0731799662818703"/>
                  <c:y val="0.02870637095051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_ * #,##0.00_ ;_ * \-#,##0.00_ ;_ * "-"??_ ;_ @_ </c:formatCode>
                <c:ptCount val="2"/>
                <c:pt idx="0">
                  <c:v>662.204912</c:v>
                </c:pt>
                <c:pt idx="1">
                  <c:v>1687.57752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13</Pages>
  <Words>3474</Words>
  <Characters>3917</Characters>
  <Lines>44</Lines>
  <Paragraphs>12</Paragraphs>
  <TotalTime>54</TotalTime>
  <ScaleCrop>false</ScaleCrop>
  <LinksUpToDate>false</LinksUpToDate>
  <CharactersWithSpaces>3935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M9</cp:lastModifiedBy>
  <cp:lastPrinted>2020-08-07T11:39:00Z</cp:lastPrinted>
  <dcterms:modified xsi:type="dcterms:W3CDTF">2024-09-05T01:45:12Z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435078ACFECC4A5A8A519EF4C3681114_13</vt:lpwstr>
  </property>
</Properties>
</file>