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C0061D">
      <w:pPr>
        <w:jc w:val="center"/>
        <w:rPr>
          <w:rFonts w:hint="eastAsia" w:ascii="仿宋_GB2312" w:eastAsia="仿宋_GB2312"/>
          <w:b/>
          <w:sz w:val="32"/>
          <w:szCs w:val="32"/>
          <w:lang w:eastAsia="zh-CN"/>
        </w:rPr>
      </w:pPr>
    </w:p>
    <w:p w14:paraId="213165D5">
      <w:pPr>
        <w:jc w:val="center"/>
        <w:rPr>
          <w:rFonts w:ascii="黑体" w:eastAsia="黑体"/>
          <w:sz w:val="72"/>
          <w:szCs w:val="72"/>
        </w:rPr>
      </w:pPr>
    </w:p>
    <w:p w14:paraId="1F67EEBB">
      <w:pPr>
        <w:jc w:val="center"/>
        <w:rPr>
          <w:rFonts w:ascii="黑体" w:eastAsia="黑体"/>
          <w:sz w:val="72"/>
          <w:szCs w:val="72"/>
        </w:rPr>
      </w:pPr>
    </w:p>
    <w:p w14:paraId="22071FF0">
      <w:pPr>
        <w:jc w:val="center"/>
        <w:rPr>
          <w:rFonts w:ascii="黑体" w:eastAsia="黑体"/>
          <w:sz w:val="72"/>
          <w:szCs w:val="72"/>
        </w:rPr>
      </w:pPr>
    </w:p>
    <w:p w14:paraId="1932E654">
      <w:pPr>
        <w:jc w:val="center"/>
        <w:rPr>
          <w:rFonts w:ascii="黑体" w:eastAsia="黑体"/>
          <w:sz w:val="72"/>
          <w:szCs w:val="72"/>
        </w:rPr>
      </w:pPr>
    </w:p>
    <w:p w14:paraId="0594647C">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14:paraId="0A366B64">
      <w:pPr>
        <w:pStyle w:val="2"/>
        <w:rPr>
          <w:rFonts w:hint="eastAsia" w:ascii="黑体" w:hAnsi="Times New Roman" w:eastAsia="黑体" w:cs="Times New Roman"/>
          <w:kern w:val="2"/>
          <w:sz w:val="72"/>
          <w:szCs w:val="72"/>
          <w:lang w:val="en-US" w:eastAsia="zh-CN" w:bidi="ar-SA"/>
        </w:rPr>
      </w:pPr>
    </w:p>
    <w:p w14:paraId="55FE4536">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北京信息科技发展中心</w:t>
      </w:r>
    </w:p>
    <w:p w14:paraId="4FEDA480">
      <w:pPr>
        <w:pStyle w:val="2"/>
        <w:jc w:val="center"/>
      </w:pPr>
    </w:p>
    <w:p w14:paraId="18E9EFAA">
      <w:pPr>
        <w:jc w:val="center"/>
        <w:rPr>
          <w:rFonts w:ascii="黑体" w:eastAsia="黑体"/>
          <w:sz w:val="52"/>
          <w:szCs w:val="52"/>
        </w:rPr>
      </w:pPr>
    </w:p>
    <w:p w14:paraId="24063A9C">
      <w:pPr>
        <w:jc w:val="center"/>
        <w:rPr>
          <w:rFonts w:ascii="黑体" w:eastAsia="黑体"/>
          <w:sz w:val="52"/>
          <w:szCs w:val="52"/>
        </w:rPr>
      </w:pPr>
    </w:p>
    <w:p w14:paraId="289D9D04">
      <w:pPr>
        <w:jc w:val="center"/>
        <w:rPr>
          <w:rFonts w:ascii="黑体" w:eastAsia="黑体"/>
          <w:sz w:val="32"/>
          <w:szCs w:val="32"/>
        </w:rPr>
      </w:pPr>
    </w:p>
    <w:p w14:paraId="43F8EA08">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560129EE">
      <w:pPr>
        <w:spacing w:line="500" w:lineRule="exact"/>
        <w:ind w:firstLine="645"/>
        <w:jc w:val="center"/>
        <w:rPr>
          <w:rFonts w:ascii="宋体" w:hAnsi="宋体" w:cs="宋体"/>
          <w:b/>
          <w:bCs/>
          <w:kern w:val="0"/>
          <w:sz w:val="36"/>
          <w:szCs w:val="36"/>
        </w:rPr>
      </w:pPr>
    </w:p>
    <w:p w14:paraId="1BB621C1">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14:paraId="5321CD8E">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DC0F43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8E1E41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0F56D70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B7A75D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5470C87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225D020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10100FA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2355B2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8903BA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31BCA24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2BD4B1E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3D9ABA4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16D6CBE9">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14:paraId="5F077D30">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14:paraId="095258DF">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14:paraId="3A1E92CA">
      <w:pPr>
        <w:tabs>
          <w:tab w:val="center" w:pos="6979"/>
        </w:tabs>
        <w:spacing w:before="156" w:beforeLines="50" w:after="156" w:afterLines="50"/>
        <w:jc w:val="center"/>
        <w:rPr>
          <w:rFonts w:ascii="宋体" w:hAnsi="宋体" w:cs="宋体"/>
          <w:b/>
          <w:bCs/>
          <w:spacing w:val="40"/>
          <w:kern w:val="0"/>
          <w:sz w:val="32"/>
          <w:szCs w:val="32"/>
        </w:rPr>
      </w:pPr>
    </w:p>
    <w:p w14:paraId="179CEAA8">
      <w:pPr>
        <w:tabs>
          <w:tab w:val="center" w:pos="6979"/>
        </w:tabs>
        <w:spacing w:before="156" w:beforeLines="50" w:after="156" w:afterLines="50"/>
        <w:jc w:val="center"/>
        <w:rPr>
          <w:rFonts w:ascii="宋体" w:hAnsi="宋体" w:cs="宋体"/>
          <w:b/>
          <w:bCs/>
          <w:spacing w:val="40"/>
          <w:kern w:val="0"/>
          <w:sz w:val="32"/>
          <w:szCs w:val="32"/>
        </w:rPr>
      </w:pPr>
    </w:p>
    <w:p w14:paraId="48543CE8">
      <w:pPr>
        <w:tabs>
          <w:tab w:val="center" w:pos="6979"/>
        </w:tabs>
        <w:spacing w:before="156" w:beforeLines="50" w:after="156" w:afterLines="50"/>
        <w:jc w:val="center"/>
        <w:rPr>
          <w:rFonts w:ascii="宋体" w:hAnsi="宋体" w:cs="宋体"/>
          <w:b/>
          <w:bCs/>
          <w:spacing w:val="40"/>
          <w:kern w:val="0"/>
          <w:sz w:val="32"/>
          <w:szCs w:val="32"/>
        </w:rPr>
      </w:pPr>
    </w:p>
    <w:p w14:paraId="081B52B2">
      <w:pPr>
        <w:tabs>
          <w:tab w:val="center" w:pos="6979"/>
        </w:tabs>
        <w:spacing w:before="156" w:beforeLines="50" w:after="156" w:afterLines="50"/>
        <w:jc w:val="center"/>
        <w:rPr>
          <w:rFonts w:ascii="宋体" w:hAnsi="宋体" w:cs="宋体"/>
          <w:b/>
          <w:bCs/>
          <w:spacing w:val="40"/>
          <w:kern w:val="0"/>
          <w:sz w:val="32"/>
          <w:szCs w:val="32"/>
        </w:rPr>
      </w:pPr>
    </w:p>
    <w:p w14:paraId="3DB46A17">
      <w:pPr>
        <w:tabs>
          <w:tab w:val="center" w:pos="6979"/>
        </w:tabs>
        <w:spacing w:before="156" w:beforeLines="50" w:after="156" w:afterLines="50"/>
        <w:jc w:val="center"/>
        <w:rPr>
          <w:rFonts w:ascii="宋体" w:hAnsi="宋体" w:cs="宋体"/>
          <w:b/>
          <w:bCs/>
          <w:spacing w:val="40"/>
          <w:kern w:val="0"/>
          <w:sz w:val="32"/>
          <w:szCs w:val="32"/>
        </w:rPr>
      </w:pPr>
    </w:p>
    <w:p w14:paraId="4D648CFD">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14:paraId="6B70AE09">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46832CCB">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14:paraId="13B4A898">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6AFFF898">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7C40692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北京信息科技发展中心根据中共北京市委机构编制委员会《关于市科委、中关村管委会所属事业单位改革有关事项的批复》(京编委[2021]66号)文件设立，是北京市科学技术委员会、中关村科技园区管理委员会所属正处级事业单位，单位性质为公益一类。主要职责：承担信息技术领域科技创新布局研究、项目管理和创新主体服务等工作。</w:t>
      </w:r>
    </w:p>
    <w:p w14:paraId="0D19C0D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内设6个部门，分别是：综合管理部、电子信息部、交叉前沿部、人工智能部、数字经济部和产业服务部。</w:t>
      </w:r>
    </w:p>
    <w:p w14:paraId="19DC0D28">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（二）人员构成情况</w:t>
      </w:r>
    </w:p>
    <w:p w14:paraId="0A25A9F1">
      <w:pPr>
        <w:tabs>
          <w:tab w:val="center" w:pos="6979"/>
        </w:tabs>
        <w:spacing w:line="580" w:lineRule="exact"/>
        <w:ind w:firstLine="570"/>
      </w:pPr>
      <w:r>
        <w:rPr>
          <w:rFonts w:hint="eastAsia" w:ascii="仿宋_GB2312" w:eastAsia="仿宋_GB2312"/>
          <w:sz w:val="28"/>
          <w:szCs w:val="28"/>
        </w:rPr>
        <w:t>行政编制0人，实有人数0人，事业编制51人，实有人数42人。</w:t>
      </w:r>
    </w:p>
    <w:p w14:paraId="5FE79B2E">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650EE93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2237.67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1760.06万元，增长368.51%。</w:t>
      </w:r>
    </w:p>
    <w:p w14:paraId="71A0C47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26068B3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2025.68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1548.07万元，增长324.13%。</w:t>
      </w:r>
    </w:p>
    <w:p w14:paraId="6051C0D5">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2025.68</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%。其中：一般公共预算财政拨款收入</w:t>
      </w:r>
      <w:r>
        <w:rPr>
          <w:rFonts w:ascii="仿宋_GB2312" w:eastAsia="仿宋_GB2312"/>
          <w:sz w:val="28"/>
          <w:szCs w:val="28"/>
        </w:rPr>
        <w:t>2025.68</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%；政府性基金预算财政拨款收入0.00万元，占收入合计的0.00%；国有资本经营预算财政拨款收入0.00万元，占收入合计的0.00%；</w:t>
      </w:r>
    </w:p>
    <w:p w14:paraId="549680F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2.上级补助收入0.00万元，占收入合计的0.00%；</w:t>
      </w:r>
    </w:p>
    <w:p w14:paraId="3CA422C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3.事业收入0.00万元，占收入合计的0.00%；</w:t>
      </w:r>
    </w:p>
    <w:p w14:paraId="24875CA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4.经营收入0.00万元，占收入合计的0.00%；</w:t>
      </w:r>
    </w:p>
    <w:p w14:paraId="4ABE767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5.附属单位上缴收入0.00万元，占收入合计的0.00%；</w:t>
      </w:r>
    </w:p>
    <w:p w14:paraId="38BB0341">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6.其他收入0.00万元，占收入合计的0.00%。</w:t>
      </w:r>
    </w:p>
    <w:p w14:paraId="18E39100">
      <w:pPr>
        <w:pStyle w:val="2"/>
        <w:ind w:firstLine="3990" w:firstLineChars="1900"/>
        <w:rPr>
          <w:rFonts w:hint="eastAsia"/>
        </w:rPr>
      </w:pPr>
      <w:r>
        <w:drawing>
          <wp:inline distT="0" distB="0" distL="114300" distR="114300">
            <wp:extent cx="4819650" cy="2743200"/>
            <wp:effectExtent l="4445" t="4445" r="14605" b="14605"/>
            <wp:docPr id="1" name="图表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ADEB0D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67E151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2026.7</w:t>
      </w:r>
      <w:r>
        <w:rPr>
          <w:rFonts w:hint="eastAsia" w:ascii="仿宋_GB2312" w:eastAsia="仿宋_GB2312"/>
          <w:sz w:val="28"/>
          <w:szCs w:val="28"/>
        </w:rPr>
        <w:t>0万元，</w:t>
      </w:r>
      <w:r>
        <w:rPr>
          <w:rFonts w:ascii="仿宋_GB2312" w:eastAsia="仿宋_GB2312"/>
          <w:sz w:val="28"/>
          <w:szCs w:val="28"/>
        </w:rPr>
        <w:t>比上年增加</w:t>
      </w:r>
      <w:r>
        <w:rPr>
          <w:rFonts w:hint="eastAsia" w:ascii="仿宋_GB2312" w:eastAsia="仿宋_GB2312"/>
          <w:sz w:val="28"/>
          <w:szCs w:val="28"/>
        </w:rPr>
        <w:t>1907.90万元，增长1605.98%，其中：基本支出</w:t>
      </w:r>
      <w:r>
        <w:rPr>
          <w:rFonts w:ascii="仿宋_GB2312" w:eastAsia="仿宋_GB2312"/>
          <w:sz w:val="28"/>
          <w:szCs w:val="28"/>
        </w:rPr>
        <w:t>1612.58</w:t>
      </w:r>
      <w:r>
        <w:rPr>
          <w:rFonts w:hint="eastAsia" w:ascii="仿宋_GB2312" w:eastAsia="仿宋_GB2312"/>
          <w:sz w:val="28"/>
          <w:szCs w:val="28"/>
        </w:rPr>
        <w:t>万元，占支出合计的</w:t>
      </w:r>
      <w:r>
        <w:rPr>
          <w:rFonts w:ascii="仿宋_GB2312" w:eastAsia="仿宋_GB2312"/>
          <w:sz w:val="28"/>
          <w:szCs w:val="28"/>
        </w:rPr>
        <w:t>79.5</w:t>
      </w:r>
      <w:r>
        <w:rPr>
          <w:rFonts w:hint="eastAsia" w:ascii="仿宋_GB2312" w:eastAsia="仿宋_GB2312"/>
          <w:sz w:val="28"/>
          <w:szCs w:val="28"/>
        </w:rPr>
        <w:t>7%；项目支出</w:t>
      </w:r>
      <w:r>
        <w:rPr>
          <w:rFonts w:ascii="仿宋_GB2312" w:eastAsia="仿宋_GB2312"/>
          <w:sz w:val="28"/>
          <w:szCs w:val="28"/>
        </w:rPr>
        <w:t>414.13</w:t>
      </w:r>
      <w:r>
        <w:rPr>
          <w:rFonts w:hint="eastAsia" w:ascii="仿宋_GB2312" w:eastAsia="仿宋_GB2312"/>
          <w:sz w:val="28"/>
          <w:szCs w:val="28"/>
        </w:rPr>
        <w:t>万元，占支出合计的</w:t>
      </w:r>
      <w:r>
        <w:rPr>
          <w:rFonts w:ascii="仿宋_GB2312" w:eastAsia="仿宋_GB2312"/>
          <w:sz w:val="28"/>
          <w:szCs w:val="28"/>
        </w:rPr>
        <w:t>20.43</w:t>
      </w:r>
      <w:r>
        <w:rPr>
          <w:rFonts w:hint="eastAsia" w:ascii="仿宋_GB2312" w:eastAsia="仿宋_GB2312"/>
          <w:sz w:val="28"/>
          <w:szCs w:val="28"/>
        </w:rPr>
        <w:t>%;上缴上级支出0.00万元，占支出合计的0.00%；经营支出0.00万元，占支出合计的0.00%；对附属单位补助支出0.00万元，占支出合计的0.00%。</w:t>
      </w:r>
    </w:p>
    <w:p w14:paraId="21F0B812">
      <w:pPr>
        <w:jc w:val="center"/>
        <w:rPr>
          <w:rFonts w:hint="eastAsia" w:ascii="黑体" w:eastAsia="黑体"/>
          <w:b/>
          <w:sz w:val="28"/>
          <w:szCs w:val="28"/>
        </w:rPr>
      </w:pPr>
      <w:r>
        <w:rPr>
          <w:rFonts w:hint="eastAsia"/>
        </w:rPr>
        <w:t xml:space="preserve">     </w:t>
      </w:r>
      <w:r>
        <w:drawing>
          <wp:inline distT="0" distB="0" distL="114300" distR="114300">
            <wp:extent cx="4819650" cy="2743200"/>
            <wp:effectExtent l="4445" t="4445" r="14605" b="14605"/>
            <wp:docPr id="3"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01B8341">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CCCA09F">
      <w:pPr>
        <w:spacing w:line="560" w:lineRule="exact"/>
        <w:ind w:firstLine="560" w:firstLineChars="20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2237.67</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1760.06万元，增长368.51%。主要原因：事业单位改革完成后，根据单位职责相关经费调整到本单位执行</w:t>
      </w:r>
      <w:bookmarkStart w:id="0" w:name="_GoBack"/>
      <w:bookmarkEnd w:id="0"/>
      <w:r>
        <w:rPr>
          <w:rFonts w:hint="eastAsia" w:ascii="仿宋_GB2312" w:eastAsia="仿宋_GB2312"/>
          <w:sz w:val="28"/>
          <w:szCs w:val="28"/>
        </w:rPr>
        <w:t>。</w:t>
      </w:r>
    </w:p>
    <w:p w14:paraId="355FF88F">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1807B5C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25DFD1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2023年度一般公共预算财政拨款支出2026.70万元，主要用于以下方面</w:t>
      </w:r>
      <w:r>
        <w:rPr>
          <w:rFonts w:hint="eastAsia" w:ascii="仿宋_GB2312" w:eastAsia="仿宋_GB2312"/>
          <w:color w:val="000000"/>
          <w:sz w:val="28"/>
          <w:szCs w:val="28"/>
        </w:rPr>
        <w:t>（按大类）：教育支出0.35万元，占本年财政拨款支出0.01%；科学技术支出1802.48万元，占本年财政拨款支出88.94%；社会保障和就业支出132.05万元，占本年财政拨款支出6.52%；卫生健康支出91.82万元，占本年财政拨款支出4.53%</w:t>
      </w:r>
      <w:r>
        <w:rPr>
          <w:rFonts w:hint="eastAsia" w:ascii="仿宋_GB2312" w:eastAsia="仿宋_GB2312"/>
          <w:sz w:val="28"/>
          <w:szCs w:val="28"/>
        </w:rPr>
        <w:t xml:space="preserve"> 。</w:t>
      </w:r>
    </w:p>
    <w:p w14:paraId="36C3A2E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5D618EA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1、“教育支出”（类）2023年度决算0.35万元，比2023年度年初预算减少3.05万元，减少89.56%。其中：</w:t>
      </w:r>
    </w:p>
    <w:p w14:paraId="074071A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“进修及培训</w:t>
      </w:r>
      <w:r>
        <w:rPr>
          <w:rFonts w:ascii="仿宋_GB2312" w:eastAsia="仿宋_GB2312"/>
          <w:sz w:val="28"/>
          <w:szCs w:val="28"/>
        </w:rPr>
        <w:t>（款）</w:t>
      </w:r>
      <w:r>
        <w:rPr>
          <w:rFonts w:hint="eastAsia" w:ascii="仿宋_GB2312" w:eastAsia="仿宋_GB2312"/>
          <w:sz w:val="28"/>
          <w:szCs w:val="28"/>
        </w:rPr>
        <w:t>”2023年度决算0.35万元，比2023年度年初预算减少3.05万元，减少89.56%。主要原因：根据工作安排，培训活动调整培训方式，减少培训经费支出。</w:t>
      </w:r>
    </w:p>
    <w:p w14:paraId="11A0148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2“科学技术支出”（类）2023年度决算1802.48万元，比2023年度年初预算减少126.50万元，减少6.56%。其中：</w:t>
      </w:r>
    </w:p>
    <w:p w14:paraId="6646991F">
      <w:pPr>
        <w:tabs>
          <w:tab w:val="center" w:pos="6979"/>
        </w:tabs>
        <w:spacing w:line="580" w:lineRule="exact"/>
        <w:ind w:firstLine="570"/>
        <w:rPr>
          <w:rFonts w:hint="eastAsia" w:ascii="仿宋_GB2312" w:eastAsia="仿宋_GB2312"/>
          <w:color w:val="000000"/>
          <w:sz w:val="28"/>
          <w:szCs w:val="28"/>
        </w:rPr>
      </w:pPr>
      <w:r>
        <w:rPr>
          <w:rFonts w:hint="eastAsia" w:ascii="仿宋_GB2312" w:eastAsia="仿宋_GB2312"/>
          <w:sz w:val="28"/>
          <w:szCs w:val="28"/>
        </w:rPr>
        <w:t>“应用</w:t>
      </w:r>
      <w:r>
        <w:rPr>
          <w:rFonts w:ascii="仿宋_GB2312" w:eastAsia="仿宋_GB2312"/>
          <w:sz w:val="28"/>
          <w:szCs w:val="28"/>
        </w:rPr>
        <w:t>研究（款）</w:t>
      </w:r>
      <w:r>
        <w:rPr>
          <w:rFonts w:hint="eastAsia" w:ascii="仿宋_GB2312" w:eastAsia="仿宋_GB2312"/>
          <w:sz w:val="28"/>
          <w:szCs w:val="28"/>
        </w:rPr>
        <w:t>”2023年度决算1420.42万元，比2023年度年初预算增加114.35万元，增长8.76%。主要原因：</w:t>
      </w:r>
      <w:r>
        <w:rPr>
          <w:rFonts w:hint="eastAsia" w:ascii="仿宋_GB2312" w:eastAsia="仿宋_GB2312"/>
          <w:color w:val="000000"/>
          <w:sz w:val="28"/>
          <w:szCs w:val="28"/>
        </w:rPr>
        <w:t>由于人员变动等因素，增加相关经费支出。</w:t>
      </w:r>
    </w:p>
    <w:p w14:paraId="0EB84906">
      <w:pPr>
        <w:tabs>
          <w:tab w:val="center" w:pos="6979"/>
        </w:tabs>
        <w:spacing w:line="560" w:lineRule="exact"/>
        <w:ind w:firstLine="570"/>
        <w:rPr>
          <w:rFonts w:ascii="仿宋_GB2312" w:eastAsia="仿宋_GB2312"/>
          <w:color w:val="000000"/>
          <w:sz w:val="28"/>
          <w:szCs w:val="28"/>
        </w:rPr>
      </w:pPr>
      <w:r>
        <w:rPr>
          <w:rFonts w:hint="eastAsia" w:ascii="仿宋_GB2312" w:eastAsia="仿宋_GB2312"/>
          <w:color w:val="000000"/>
          <w:sz w:val="28"/>
          <w:szCs w:val="28"/>
        </w:rPr>
        <w:t>“科技条件与服务</w:t>
      </w:r>
      <w:r>
        <w:rPr>
          <w:rFonts w:ascii="仿宋_GB2312" w:eastAsia="仿宋_GB2312"/>
          <w:color w:val="000000"/>
          <w:sz w:val="28"/>
          <w:szCs w:val="28"/>
        </w:rPr>
        <w:t>（款）</w:t>
      </w:r>
      <w:r>
        <w:rPr>
          <w:rFonts w:hint="eastAsia" w:ascii="仿宋_GB2312" w:eastAsia="仿宋_GB2312"/>
          <w:color w:val="000000"/>
          <w:sz w:val="28"/>
          <w:szCs w:val="28"/>
        </w:rPr>
        <w:t>”2023年度决算382.06万元，比2023年度年初预算减少240.86 万元，减少38.67%。主要原因：根据工作安排，本年度调整新一代信息通信技术领域研究与决策支撑项目经费。</w:t>
      </w:r>
    </w:p>
    <w:p w14:paraId="249C7A5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3“社会保障和就业支出”（类）2023年度决算132.05万元，与2023年度年初预算持平。其中：</w:t>
      </w:r>
    </w:p>
    <w:p w14:paraId="56F8A57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“行政事业单位养老支出</w:t>
      </w:r>
      <w:r>
        <w:rPr>
          <w:rFonts w:ascii="仿宋_GB2312" w:eastAsia="仿宋_GB2312"/>
          <w:sz w:val="28"/>
          <w:szCs w:val="28"/>
        </w:rPr>
        <w:t>（款）</w:t>
      </w:r>
      <w:r>
        <w:rPr>
          <w:rFonts w:hint="eastAsia" w:ascii="仿宋_GB2312" w:eastAsia="仿宋_GB2312"/>
          <w:sz w:val="28"/>
          <w:szCs w:val="28"/>
        </w:rPr>
        <w:t>”2023年度决算132.05万元，与2023年度年初预算持平。</w:t>
      </w:r>
    </w:p>
    <w:p w14:paraId="6502F08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4“卫生健康支出”（类）2023年度决算91.82万元，比2023年度年初预算减少9.71 万元，减少9.56%。其中：</w:t>
      </w:r>
    </w:p>
    <w:p w14:paraId="2499BBB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“行政事业单位医疗</w:t>
      </w:r>
      <w:r>
        <w:rPr>
          <w:rFonts w:ascii="仿宋_GB2312" w:eastAsia="仿宋_GB2312"/>
          <w:sz w:val="28"/>
          <w:szCs w:val="28"/>
        </w:rPr>
        <w:t>（款）</w:t>
      </w:r>
      <w:r>
        <w:rPr>
          <w:rFonts w:hint="eastAsia" w:ascii="仿宋_GB2312" w:eastAsia="仿宋_GB2312"/>
          <w:sz w:val="28"/>
          <w:szCs w:val="28"/>
        </w:rPr>
        <w:t>”2023年度决算91.82万元，比2023年度年初预算减少9.71 万元，减少9.56%。主要原因：由于人员变动等因素，减少相关经费支出。</w:t>
      </w:r>
    </w:p>
    <w:p w14:paraId="645941E8">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2C8F9B7B">
      <w:pPr>
        <w:spacing w:line="580" w:lineRule="exact"/>
        <w:ind w:firstLine="560" w:firstLineChars="200"/>
        <w:rPr>
          <w:rFonts w:ascii="仿宋_GB2312" w:eastAsia="仿宋_GB2312"/>
          <w:sz w:val="28"/>
          <w:szCs w:val="28"/>
        </w:rPr>
      </w:pPr>
      <w:r>
        <w:rPr>
          <w:rFonts w:hint="eastAsia" w:ascii="仿宋_GB2312" w:eastAsia="仿宋_GB2312"/>
          <w:sz w:val="28"/>
          <w:szCs w:val="28"/>
        </w:rPr>
        <w:t>本年度无此项支出。</w:t>
      </w:r>
    </w:p>
    <w:p w14:paraId="18D042A7">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0540982D">
      <w:pPr>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0E27F6BF">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40F9E5EA">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1612.58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644D7F0D">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14:paraId="081430F5">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19F19FF5">
      <w:pPr>
        <w:spacing w:line="580" w:lineRule="exact"/>
        <w:ind w:firstLine="560" w:firstLineChars="200"/>
        <w:rPr>
          <w:rFonts w:ascii="仿宋_GB2312" w:eastAsia="仿宋_GB2312"/>
          <w:sz w:val="28"/>
          <w:szCs w:val="28"/>
        </w:rPr>
      </w:pPr>
      <w:r>
        <w:rPr>
          <w:rFonts w:hint="eastAsia" w:ascii="仿宋_GB2312" w:eastAsia="仿宋_GB2312"/>
          <w:sz w:val="28"/>
          <w:szCs w:val="28"/>
        </w:rPr>
        <w:t>本年度无此项支出。</w:t>
      </w:r>
    </w:p>
    <w:p w14:paraId="031004E5">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1B1058D3">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6F919694">
      <w:pPr>
        <w:ind w:left="540"/>
        <w:rPr>
          <w:rFonts w:ascii="黑体" w:eastAsia="黑体"/>
          <w:sz w:val="28"/>
          <w:szCs w:val="28"/>
        </w:rPr>
      </w:pPr>
      <w:r>
        <w:rPr>
          <w:rFonts w:hint="eastAsia" w:ascii="黑体" w:eastAsia="黑体"/>
          <w:sz w:val="28"/>
          <w:szCs w:val="28"/>
        </w:rPr>
        <w:t>三、政府采购支出情况</w:t>
      </w:r>
    </w:p>
    <w:p w14:paraId="572BB9BA">
      <w:pPr>
        <w:ind w:firstLine="537" w:firstLineChars="192"/>
        <w:rPr>
          <w:rFonts w:hint="eastAsia"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203.88</w:t>
      </w:r>
      <w:r>
        <w:rPr>
          <w:rFonts w:hint="eastAsia" w:ascii="仿宋_GB2312" w:eastAsia="仿宋_GB2312"/>
          <w:sz w:val="28"/>
          <w:szCs w:val="28"/>
        </w:rPr>
        <w:t>万元，其中：政府采购货物支出</w:t>
      </w:r>
      <w:r>
        <w:rPr>
          <w:rFonts w:ascii="仿宋_GB2312" w:eastAsia="仿宋_GB2312"/>
          <w:sz w:val="28"/>
          <w:szCs w:val="28"/>
        </w:rPr>
        <w:t>31.36</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172.52</w:t>
      </w:r>
      <w:r>
        <w:rPr>
          <w:rFonts w:hint="eastAsia" w:ascii="仿宋_GB2312" w:eastAsia="仿宋_GB2312"/>
          <w:sz w:val="28"/>
          <w:szCs w:val="28"/>
        </w:rPr>
        <w:t>万元。授予中小企业合同金额</w:t>
      </w:r>
      <w:r>
        <w:rPr>
          <w:rFonts w:ascii="仿宋_GB2312" w:eastAsia="仿宋_GB2312"/>
          <w:sz w:val="28"/>
          <w:szCs w:val="28"/>
        </w:rPr>
        <w:t>55.93</w:t>
      </w:r>
      <w:r>
        <w:rPr>
          <w:rFonts w:hint="eastAsia" w:ascii="仿宋_GB2312" w:eastAsia="仿宋_GB2312"/>
          <w:sz w:val="28"/>
          <w:szCs w:val="28"/>
        </w:rPr>
        <w:t>万元，占政府采购支出总额的</w:t>
      </w:r>
      <w:r>
        <w:rPr>
          <w:rFonts w:ascii="仿宋_GB2312" w:eastAsia="仿宋_GB2312"/>
          <w:sz w:val="28"/>
          <w:szCs w:val="28"/>
        </w:rPr>
        <w:t>27.43</w:t>
      </w:r>
      <w:r>
        <w:rPr>
          <w:rFonts w:hint="eastAsia" w:ascii="仿宋_GB2312" w:eastAsia="仿宋_GB2312"/>
          <w:sz w:val="28"/>
          <w:szCs w:val="28"/>
        </w:rPr>
        <w:t>%，其中：授予小微企业合同金额</w:t>
      </w:r>
      <w:r>
        <w:rPr>
          <w:rFonts w:ascii="仿宋_GB2312" w:eastAsia="仿宋_GB2312"/>
          <w:sz w:val="28"/>
          <w:szCs w:val="28"/>
        </w:rPr>
        <w:t>5.83</w:t>
      </w:r>
      <w:r>
        <w:rPr>
          <w:rFonts w:hint="eastAsia" w:ascii="仿宋_GB2312" w:eastAsia="仿宋_GB2312"/>
          <w:sz w:val="28"/>
          <w:szCs w:val="28"/>
        </w:rPr>
        <w:t>万元，占政府采购支出总额的</w:t>
      </w:r>
      <w:r>
        <w:rPr>
          <w:rFonts w:ascii="仿宋_GB2312" w:eastAsia="仿宋_GB2312"/>
          <w:sz w:val="28"/>
          <w:szCs w:val="28"/>
        </w:rPr>
        <w:t>2.85</w:t>
      </w:r>
      <w:r>
        <w:rPr>
          <w:rFonts w:hint="eastAsia" w:ascii="仿宋_GB2312" w:eastAsia="仿宋_GB2312"/>
          <w:sz w:val="28"/>
          <w:szCs w:val="28"/>
        </w:rPr>
        <w:t>%。</w:t>
      </w:r>
    </w:p>
    <w:p w14:paraId="0567645E">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3FBB6C41">
      <w:pPr>
        <w:ind w:firstLine="560" w:firstLineChars="200"/>
      </w:pPr>
      <w:r>
        <w:rPr>
          <w:rFonts w:hint="eastAsia" w:ascii="仿宋_GB2312" w:eastAsia="仿宋_GB2312"/>
          <w:sz w:val="28"/>
          <w:szCs w:val="28"/>
        </w:rPr>
        <w:t>2023年度新购置车辆0台，共计0.00万元；新购置单位价值100万元（含）以上的设备0台（套），共计0.00万元。截至12月31日，北京信息科技发展中心共有车辆0台，共计0.00万元；单位价值100万元（含）以上的设备0台（套），共计0.00万元。</w:t>
      </w:r>
    </w:p>
    <w:p w14:paraId="46987E7D">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6ECA19C">
      <w:pPr>
        <w:ind w:firstLine="560" w:firstLineChars="200"/>
        <w:jc w:val="left"/>
        <w:rPr>
          <w:rFonts w:hint="eastAsia" w:ascii="仿宋_GB2312" w:eastAsia="仿宋_GB2312"/>
          <w:sz w:val="28"/>
          <w:szCs w:val="28"/>
        </w:rPr>
      </w:pPr>
      <w:r>
        <w:rPr>
          <w:rFonts w:hint="eastAsia" w:ascii="仿宋_GB2312" w:eastAsia="仿宋_GB2312"/>
          <w:sz w:val="28"/>
          <w:szCs w:val="28"/>
        </w:rPr>
        <w:t>本单位不属于政府购买服务购买主体。</w:t>
      </w:r>
    </w:p>
    <w:p w14:paraId="3AECA2D2">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59DBA4DE">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3C17931D">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0D93154D">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60CC429">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ADDEB7E">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094A86BA">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64C6E8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7. 支出功能分类项级科目名词解释</w:t>
      </w:r>
    </w:p>
    <w:p w14:paraId="35C66C4B">
      <w:pPr>
        <w:spacing w:line="560" w:lineRule="exact"/>
        <w:ind w:firstLine="560" w:firstLineChars="200"/>
        <w:rPr>
          <w:rFonts w:ascii="仿宋_GB2312" w:eastAsia="仿宋_GB2312"/>
          <w:sz w:val="28"/>
          <w:szCs w:val="28"/>
        </w:rPr>
      </w:pPr>
      <w:r>
        <w:rPr>
          <w:rFonts w:hint="eastAsia" w:ascii="仿宋_GB2312" w:eastAsia="仿宋_GB2312"/>
          <w:sz w:val="28"/>
          <w:szCs w:val="28"/>
        </w:rPr>
        <w:t>（1）科学技术支出（类）应用研究（款）机构运行（项）（2060301）：反映应用研究机构的基</w:t>
      </w:r>
      <w:r>
        <w:rPr>
          <w:rFonts w:ascii="仿宋_GB2312" w:eastAsia="仿宋_GB2312"/>
          <w:sz w:val="28"/>
          <w:szCs w:val="28"/>
        </w:rPr>
        <w:t>本支出。</w:t>
      </w:r>
    </w:p>
    <w:p w14:paraId="43DB48FB">
      <w:pPr>
        <w:spacing w:line="560" w:lineRule="exact"/>
        <w:ind w:firstLine="560" w:firstLineChars="200"/>
        <w:rPr>
          <w:rFonts w:ascii="仿宋_GB2312" w:eastAsia="仿宋_GB2312"/>
          <w:sz w:val="28"/>
          <w:szCs w:val="28"/>
        </w:rPr>
      </w:pPr>
      <w:r>
        <w:rPr>
          <w:rFonts w:hint="eastAsia" w:ascii="仿宋_GB2312" w:eastAsia="仿宋_GB2312"/>
          <w:sz w:val="28"/>
          <w:szCs w:val="28"/>
        </w:rPr>
        <w:t>（2）科学技术支出（类）科技条件与服务（款）机构运行（项）（2060501）：反映科技服务机构的基本支出。</w:t>
      </w:r>
    </w:p>
    <w:p w14:paraId="6CFA53D6">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（3）科学技术支出（类）科技条件与服务（款）科技条件专项（项）（2060503）：反映国家用于完善科技条件的支出，包括科技文献信息、网络环境支撑等科技条件专项支出等。</w:t>
      </w:r>
    </w:p>
    <w:p w14:paraId="381DD468">
      <w:pPr>
        <w:spacing w:line="560" w:lineRule="exact"/>
        <w:ind w:firstLine="420" w:firstLineChars="200"/>
        <w:rPr>
          <w:rFonts w:ascii="仿宋_GB2312" w:eastAsia="仿宋_GB2312"/>
          <w:sz w:val="28"/>
          <w:szCs w:val="28"/>
        </w:rPr>
      </w:pPr>
      <w:r>
        <w:rPr>
          <w:rFonts w:hint="eastAsia"/>
        </w:rPr>
        <w:t xml:space="preserve"> </w:t>
      </w:r>
      <w:r>
        <w:rPr>
          <w:rFonts w:hint="eastAsia" w:ascii="仿宋_GB2312" w:eastAsia="仿宋_GB2312"/>
          <w:sz w:val="28"/>
          <w:szCs w:val="28"/>
        </w:rPr>
        <w:t>（4）社会保障和就业支出（类）行政事业单位养老支出（款）事业单位离退休（项）（2080502）：反映用于行政事业单位离退休方面的</w:t>
      </w:r>
      <w:r>
        <w:rPr>
          <w:rFonts w:ascii="仿宋_GB2312" w:eastAsia="仿宋_GB2312"/>
          <w:sz w:val="28"/>
          <w:szCs w:val="28"/>
        </w:rPr>
        <w:t>支出。</w:t>
      </w:r>
    </w:p>
    <w:p w14:paraId="7D1BD18A">
      <w:pPr>
        <w:spacing w:line="560" w:lineRule="exact"/>
        <w:ind w:firstLine="560" w:firstLineChars="200"/>
        <w:rPr>
          <w:rFonts w:hint="eastAsia" w:ascii="仿宋_GB2312" w:hAnsi="仿宋_GB2312" w:eastAsia="仿宋_GB2312" w:cs="仿宋_GB2312"/>
          <w:color w:val="333333"/>
          <w:sz w:val="28"/>
          <w:szCs w:val="28"/>
        </w:rPr>
      </w:pPr>
      <w:r>
        <w:rPr>
          <w:rFonts w:hint="eastAsia" w:ascii="仿宋_GB2312" w:eastAsia="仿宋_GB2312"/>
          <w:sz w:val="28"/>
          <w:szCs w:val="28"/>
        </w:rPr>
        <w:t>（5）社会保障和就业支出（类）行政事业单位养老支出（款）机关事业单位基本养老保险缴费支出（项）（2080505）：</w:t>
      </w:r>
      <w:r>
        <w:rPr>
          <w:rFonts w:hint="eastAsia" w:ascii="仿宋_GB2312" w:hAnsi="仿宋_GB2312" w:eastAsia="仿宋_GB2312" w:cs="仿宋_GB2312"/>
          <w:color w:val="333333"/>
          <w:sz w:val="28"/>
          <w:szCs w:val="28"/>
        </w:rPr>
        <w:t>反映机关事业单位实施养老保险制度由单位缴纳的基本养老保险费支出。</w:t>
      </w:r>
    </w:p>
    <w:p w14:paraId="30B7073E">
      <w:pPr>
        <w:spacing w:line="560" w:lineRule="exact"/>
        <w:ind w:firstLine="560" w:firstLineChars="200"/>
        <w:rPr>
          <w:rFonts w:hint="eastAsia" w:ascii="仿宋_GB2312" w:hAnsi="仿宋_GB2312" w:eastAsia="仿宋_GB2312" w:cs="仿宋_GB2312"/>
          <w:color w:val="333333"/>
          <w:sz w:val="28"/>
          <w:szCs w:val="28"/>
        </w:rPr>
      </w:pPr>
      <w:r>
        <w:rPr>
          <w:rFonts w:hint="eastAsia" w:ascii="仿宋_GB2312" w:eastAsia="仿宋_GB2312"/>
          <w:sz w:val="28"/>
          <w:szCs w:val="28"/>
        </w:rPr>
        <w:t>（6）社会保障和就业支出（类）行政事业单位养老支出（款）机关事业单位职业年金缴费支出（项）（2080506）：</w:t>
      </w:r>
      <w:r>
        <w:rPr>
          <w:rFonts w:hint="eastAsia" w:ascii="仿宋_GB2312" w:hAnsi="仿宋_GB2312" w:eastAsia="仿宋_GB2312" w:cs="仿宋_GB2312"/>
          <w:color w:val="333333"/>
          <w:sz w:val="28"/>
          <w:szCs w:val="28"/>
        </w:rPr>
        <w:t>反映机关事业单位实施养老保险制度由单位缴纳的职业年金支出。</w:t>
      </w:r>
    </w:p>
    <w:p w14:paraId="1903E37D">
      <w:pPr>
        <w:spacing w:line="560" w:lineRule="exact"/>
        <w:ind w:firstLine="560" w:firstLineChars="200"/>
        <w:rPr>
          <w:rFonts w:hint="eastAsia" w:ascii="仿宋_GB2312" w:hAnsi="仿宋_GB2312" w:eastAsia="仿宋_GB2312" w:cs="仿宋_GB2312"/>
          <w:color w:val="333333"/>
          <w:sz w:val="28"/>
          <w:szCs w:val="28"/>
        </w:rPr>
      </w:pPr>
      <w:r>
        <w:rPr>
          <w:rFonts w:hint="eastAsia" w:ascii="仿宋_GB2312" w:eastAsia="仿宋_GB2312"/>
          <w:sz w:val="28"/>
          <w:szCs w:val="28"/>
        </w:rPr>
        <w:t>（7）卫生健康支出（类）行政事业单位医疗（款）事业单位医疗（项）（2101102）：</w:t>
      </w:r>
      <w:r>
        <w:rPr>
          <w:rFonts w:hint="eastAsia" w:ascii="仿宋_GB2312" w:hAnsi="仿宋_GB2312" w:eastAsia="仿宋_GB2312" w:cs="仿宋_GB2312"/>
          <w:color w:val="333333"/>
          <w:sz w:val="28"/>
          <w:szCs w:val="28"/>
        </w:rPr>
        <w:t>反映机关事业单位实施医疗保险制度由单位缴纳的医疗保险支出。</w:t>
      </w:r>
    </w:p>
    <w:p w14:paraId="4431C673">
      <w:pPr>
        <w:spacing w:line="560" w:lineRule="exact"/>
        <w:ind w:firstLine="560" w:firstLineChars="200"/>
        <w:rPr>
          <w:rFonts w:ascii="仿宋_GB2312" w:eastAsia="仿宋_GB2312"/>
          <w:sz w:val="28"/>
          <w:szCs w:val="28"/>
        </w:rPr>
      </w:pPr>
    </w:p>
    <w:p w14:paraId="29B55BDB">
      <w:pPr>
        <w:rPr>
          <w:rFonts w:ascii="仿宋_GB2312" w:eastAsia="仿宋_GB2312"/>
          <w:sz w:val="28"/>
          <w:szCs w:val="28"/>
        </w:rPr>
      </w:pPr>
    </w:p>
    <w:p w14:paraId="2C31BAFC">
      <w:pPr>
        <w:ind w:firstLine="632" w:firstLineChars="200"/>
        <w:rPr>
          <w:rFonts w:ascii="仿宋_GB2312" w:eastAsia="仿宋_GB2312"/>
          <w:b/>
          <w:color w:val="000000"/>
          <w:spacing w:val="-2"/>
          <w:sz w:val="32"/>
          <w:szCs w:val="32"/>
        </w:rPr>
      </w:pPr>
    </w:p>
    <w:p w14:paraId="5A7746EC">
      <w:pPr>
        <w:ind w:firstLine="640" w:firstLineChars="200"/>
        <w:jc w:val="center"/>
        <w:rPr>
          <w:rFonts w:ascii="黑体" w:eastAsia="黑体"/>
          <w:sz w:val="32"/>
          <w:szCs w:val="32"/>
        </w:rPr>
      </w:pPr>
    </w:p>
    <w:p w14:paraId="4F77401B">
      <w:pPr>
        <w:ind w:firstLine="640" w:firstLineChars="200"/>
        <w:jc w:val="center"/>
        <w:rPr>
          <w:rFonts w:ascii="黑体" w:eastAsia="黑体"/>
          <w:sz w:val="32"/>
          <w:szCs w:val="32"/>
        </w:rPr>
      </w:pPr>
    </w:p>
    <w:p w14:paraId="02915167">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14:paraId="4248AB2B">
      <w:pPr>
        <w:ind w:firstLine="560" w:firstLineChars="200"/>
        <w:rPr>
          <w:rFonts w:ascii="黑体" w:eastAsia="黑体"/>
          <w:sz w:val="28"/>
          <w:szCs w:val="28"/>
          <w:highlight w:val="yellow"/>
        </w:rPr>
      </w:pPr>
    </w:p>
    <w:p w14:paraId="6304A2ED">
      <w:pPr>
        <w:ind w:firstLine="560" w:firstLineChars="200"/>
        <w:rPr>
          <w:rFonts w:ascii="黑体" w:eastAsia="黑体"/>
          <w:sz w:val="28"/>
          <w:szCs w:val="28"/>
        </w:rPr>
      </w:pPr>
      <w:r>
        <w:rPr>
          <w:rFonts w:hint="eastAsia" w:ascii="黑体" w:eastAsia="黑体"/>
          <w:sz w:val="28"/>
          <w:szCs w:val="28"/>
        </w:rPr>
        <w:t>一</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14:paraId="44D6B25F"/>
    <w:p w14:paraId="1EB9E74B">
      <w:pPr>
        <w:pStyle w:val="3"/>
      </w:pPr>
    </w:p>
    <w:p w14:paraId="745B7ACA"/>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A3CB8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613BDCB4">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315B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6C8F8030">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AABB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24BD69AE">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iMTE1NDFlZGIwMTcyZjg1YjkxMmFiMjYwZTYxMm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BA148CA"/>
    <w:rsid w:val="0DD136FE"/>
    <w:rsid w:val="0F8E2C57"/>
    <w:rsid w:val="1059665E"/>
    <w:rsid w:val="10AC13BA"/>
    <w:rsid w:val="1AEC0734"/>
    <w:rsid w:val="1DEF20B0"/>
    <w:rsid w:val="20EC7A16"/>
    <w:rsid w:val="214243FA"/>
    <w:rsid w:val="21AD613C"/>
    <w:rsid w:val="257A14F5"/>
    <w:rsid w:val="260C0FAA"/>
    <w:rsid w:val="27196C26"/>
    <w:rsid w:val="29EF086F"/>
    <w:rsid w:val="2EFFE297"/>
    <w:rsid w:val="301437CA"/>
    <w:rsid w:val="349D1F0A"/>
    <w:rsid w:val="34DD0473"/>
    <w:rsid w:val="3666163F"/>
    <w:rsid w:val="39763A64"/>
    <w:rsid w:val="39E160AE"/>
    <w:rsid w:val="3F2A2021"/>
    <w:rsid w:val="3F6A5E19"/>
    <w:rsid w:val="433E495C"/>
    <w:rsid w:val="4AC27CB3"/>
    <w:rsid w:val="4B426EA4"/>
    <w:rsid w:val="4BF72BEF"/>
    <w:rsid w:val="51DB3C59"/>
    <w:rsid w:val="550C0952"/>
    <w:rsid w:val="554408F4"/>
    <w:rsid w:val="55762E42"/>
    <w:rsid w:val="57A7B272"/>
    <w:rsid w:val="58470068"/>
    <w:rsid w:val="5A1720F9"/>
    <w:rsid w:val="5B9C37C2"/>
    <w:rsid w:val="5BA7C654"/>
    <w:rsid w:val="62B62164"/>
    <w:rsid w:val="64C0607C"/>
    <w:rsid w:val="65532D27"/>
    <w:rsid w:val="676F09E1"/>
    <w:rsid w:val="6B98216C"/>
    <w:rsid w:val="6DAE289F"/>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200" w:firstLineChars="200"/>
    </w:pPr>
  </w:style>
  <w:style w:type="paragraph" w:styleId="4">
    <w:name w:val="Body Text Indent"/>
    <w:basedOn w:val="1"/>
    <w:autoRedefine/>
    <w:qFormat/>
    <w:uiPriority w:val="0"/>
    <w:pPr>
      <w:ind w:firstLine="645"/>
    </w:pPr>
    <w:rPr>
      <w:rFonts w:ascii="仿宋_GB2312" w:hAnsi="Calibri" w:eastAsia="仿宋_GB2312"/>
      <w:sz w:val="32"/>
      <w:szCs w:val="32"/>
    </w:rPr>
  </w:style>
  <w:style w:type="paragraph" w:styleId="5">
    <w:name w:val="Date"/>
    <w:basedOn w:val="1"/>
    <w:next w:val="1"/>
    <w:autoRedefine/>
    <w:qFormat/>
    <w:uiPriority w:val="0"/>
    <w:pPr>
      <w:ind w:left="100" w:leftChars="2500"/>
    </w:pPr>
  </w:style>
  <w:style w:type="paragraph" w:styleId="6">
    <w:name w:val="Balloon Text"/>
    <w:basedOn w:val="1"/>
    <w:autoRedefine/>
    <w:semiHidden/>
    <w:qFormat/>
    <w:uiPriority w:val="0"/>
    <w:rPr>
      <w:sz w:val="18"/>
      <w:szCs w:val="18"/>
    </w:rPr>
  </w:style>
  <w:style w:type="paragraph" w:styleId="7">
    <w:name w:val="footer"/>
    <w:basedOn w:val="1"/>
    <w:link w:val="14"/>
    <w:autoRedefine/>
    <w:qFormat/>
    <w:uiPriority w:val="0"/>
    <w:pPr>
      <w:tabs>
        <w:tab w:val="center" w:pos="4153"/>
        <w:tab w:val="right" w:pos="8306"/>
      </w:tabs>
      <w:snapToGrid w:val="0"/>
      <w:jc w:val="left"/>
    </w:pPr>
    <w:rPr>
      <w:sz w:val="18"/>
      <w:szCs w:val="18"/>
    </w:rPr>
  </w:style>
  <w:style w:type="paragraph" w:styleId="8">
    <w:name w:val="header"/>
    <w:basedOn w:val="1"/>
    <w:link w:val="15"/>
    <w:autoRedefine/>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autoRedefine/>
    <w:unhideWhenUsed/>
    <w:qFormat/>
    <w:uiPriority w:val="0"/>
    <w:pPr>
      <w:spacing w:before="100" w:beforeAutospacing="1" w:after="100" w:afterAutospacing="1"/>
      <w:ind w:right="238"/>
      <w:jc w:val="left"/>
    </w:pPr>
    <w:rPr>
      <w:b/>
      <w:kern w:val="0"/>
      <w:sz w:val="24"/>
      <w:szCs w:val="20"/>
    </w:rPr>
  </w:style>
  <w:style w:type="character" w:styleId="12">
    <w:name w:val="Strong"/>
    <w:autoRedefine/>
    <w:qFormat/>
    <w:uiPriority w:val="0"/>
    <w:rPr>
      <w:b/>
    </w:rPr>
  </w:style>
  <w:style w:type="character" w:styleId="13">
    <w:name w:val="page number"/>
    <w:autoRedefine/>
    <w:qFormat/>
    <w:uiPriority w:val="0"/>
  </w:style>
  <w:style w:type="character" w:customStyle="1" w:styleId="14">
    <w:name w:val="页脚 Char"/>
    <w:link w:val="7"/>
    <w:autoRedefine/>
    <w:qFormat/>
    <w:uiPriority w:val="0"/>
    <w:rPr>
      <w:rFonts w:eastAsia="宋体"/>
      <w:kern w:val="2"/>
      <w:sz w:val="18"/>
      <w:szCs w:val="18"/>
      <w:lang w:val="en-US" w:eastAsia="zh-CN" w:bidi="ar-SA"/>
    </w:rPr>
  </w:style>
  <w:style w:type="character" w:customStyle="1" w:styleId="15">
    <w:name w:val="页眉 Char"/>
    <w:link w:val="8"/>
    <w:autoRedefine/>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autoRedefine/>
    <w:qFormat/>
    <w:uiPriority w:val="0"/>
    <w:rPr>
      <w:rFonts w:ascii="Tahoma" w:hAnsi="Tahoma"/>
      <w:sz w:val="24"/>
      <w:szCs w:val="20"/>
    </w:rPr>
  </w:style>
  <w:style w:type="paragraph" w:customStyle="1" w:styleId="17">
    <w:name w:val="Char1 Char Char Char"/>
    <w:basedOn w:val="1"/>
    <w:autoRedefine/>
    <w:qFormat/>
    <w:uiPriority w:val="0"/>
    <w:pPr>
      <w:widowControl/>
      <w:spacing w:after="160" w:line="240" w:lineRule="exact"/>
      <w:jc w:val="left"/>
    </w:pPr>
    <w:rPr>
      <w:szCs w:val="20"/>
    </w:rPr>
  </w:style>
  <w:style w:type="paragraph" w:customStyle="1" w:styleId="18">
    <w:name w:val="Char"/>
    <w:basedOn w:val="1"/>
    <w:autoRedefine/>
    <w:qFormat/>
    <w:uiPriority w:val="0"/>
    <w:rPr>
      <w:rFonts w:ascii="Tahoma" w:hAnsi="Tahoma"/>
      <w:sz w:val="24"/>
      <w:szCs w:val="20"/>
    </w:rPr>
  </w:style>
  <w:style w:type="paragraph" w:customStyle="1" w:styleId="19">
    <w:name w:val="Char Char3 Char Char"/>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pc\Desktop\&#19977;&#20844;&#32463;&#36153;&#34917;&#20805;&#25968;&#25454;&#34920;(&#20449;&#24687;&#20013;&#24515;&#65289;.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pc\Desktop\&#19977;&#20844;&#32463;&#36153;&#34917;&#20805;&#25968;&#25454;&#34920;(&#20449;&#24687;&#20013;&#24515;&#6528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rgbClr val="404040">
                    <a:lumMod val="75000"/>
                    <a:lumOff val="25000"/>
                  </a:srgbClr>
                </a:solidFill>
                <a:latin typeface="+mn-lt"/>
                <a:ea typeface="+mn-ea"/>
                <a:cs typeface="+mn-cs"/>
              </a:defRPr>
            </a:pPr>
            <a:r>
              <a:t>收入决算</a:t>
            </a:r>
          </a:p>
        </c:rich>
      </c:tx>
      <c:layout/>
      <c:overlay val="0"/>
      <c:spPr>
        <a:noFill/>
        <a:ln>
          <a:noFill/>
        </a:ln>
        <a:effectLst/>
      </c:spPr>
    </c:title>
    <c:autoTitleDeleted val="0"/>
    <c:plotArea>
      <c:layout/>
      <c:pieChart>
        <c:varyColors val="1"/>
        <c:ser>
          <c:idx val="0"/>
          <c:order val="0"/>
          <c:spPr/>
          <c:explosion val="0"/>
          <c:dPt>
            <c:idx val="0"/>
            <c:bubble3D val="0"/>
            <c:spPr>
              <a:solidFill>
                <a:srgbClr val="4F81BD"/>
              </a:solidFill>
              <a:ln>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'[三公经费补充数据表(信息中心）.xlsx]Sheet2'!$A$2</c:f>
              <c:strCache>
                <c:ptCount val="1"/>
                <c:pt idx="0">
                  <c:v>财政拨款收入</c:v>
                </c:pt>
              </c:strCache>
            </c:strRef>
          </c:cat>
          <c:val>
            <c:numRef>
              <c:f>'[三公经费补充数据表(信息中心）.xlsx]Sheet2'!$B$2</c:f>
              <c:numCache>
                <c:formatCode>0%</c:formatCode>
                <c:ptCount val="1"/>
                <c:pt idx="0">
                  <c:v>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rgbClr val="404040">
                    <a:lumMod val="75000"/>
                    <a:lumOff val="25000"/>
                  </a:srgbClr>
                </a:solidFill>
                <a:latin typeface="+mn-lt"/>
                <a:ea typeface="+mn-ea"/>
                <a:cs typeface="+mn-cs"/>
              </a:defRPr>
            </a:pPr>
            <a:r>
              <a:t>支出决算</a:t>
            </a:r>
          </a:p>
        </c:rich>
      </c:tx>
      <c:layout/>
      <c:overlay val="0"/>
      <c:spPr>
        <a:noFill/>
        <a:ln>
          <a:noFill/>
        </a:ln>
        <a:effectLst/>
      </c:spPr>
    </c:title>
    <c:autoTitleDeleted val="0"/>
    <c:plotArea>
      <c:layout/>
      <c:pieChart>
        <c:varyColors val="1"/>
        <c:ser>
          <c:idx val="0"/>
          <c:order val="0"/>
          <c:spPr/>
          <c:explosion val="0"/>
          <c:dPt>
            <c:idx val="0"/>
            <c:bubble3D val="0"/>
            <c:spPr>
              <a:solidFill>
                <a:srgbClr val="4F81BD"/>
              </a:solidFill>
              <a:ln>
                <a:solidFill>
                  <a:srgbClr val="FFFFFF"/>
                </a:solidFill>
              </a:ln>
              <a:effectLst/>
            </c:spPr>
          </c:dPt>
          <c:dPt>
            <c:idx val="1"/>
            <c:bubble3D val="0"/>
            <c:spPr>
              <a:solidFill>
                <a:srgbClr val="C0504D"/>
              </a:solidFill>
              <a:ln>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'[三公经费补充数据表(信息中心）.xlsx]Sheet1'!$A$2:$A$3</c:f>
              <c:strCache>
                <c:ptCount val="2"/>
                <c:pt idx="0">
                  <c:v>基本支出</c:v>
                </c:pt>
                <c:pt idx="1">
                  <c:v>项目支出</c:v>
                </c:pt>
              </c:strCache>
            </c:strRef>
          </c:cat>
          <c:val>
            <c:numRef>
              <c:f>'[三公经费补充数据表(信息中心）.xlsx]Sheet1'!$B$2:$B$3</c:f>
              <c:numCache>
                <c:formatCode>0.00%</c:formatCode>
                <c:ptCount val="2"/>
                <c:pt idx="0">
                  <c:v>0.7957</c:v>
                </c:pt>
                <c:pt idx="1">
                  <c:v>0.2043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10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rgbClr val="000000"/>
    </cs:fontRef>
    <cs:spPr>
      <a:ln>
        <a:solidFill>
          <a:srgbClr val="FFFFFF"/>
        </a:solidFill>
      </a:ln>
      <a:effectLst/>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E6E6E6">
            <a:lumMod val="902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404040">
        <a:lumMod val="75000"/>
        <a:lumOff val="25000"/>
      </a:srgbClr>
    </cs:fontRef>
    <cs:defRPr sz="1400" b="1" kern="120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10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rgbClr val="000000"/>
    </cs:fontRef>
    <cs:spPr>
      <a:ln>
        <a:solidFill>
          <a:srgbClr val="FFFFFF"/>
        </a:solidFill>
      </a:ln>
      <a:effectLst/>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E6E6E6">
            <a:lumMod val="902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404040">
        <a:lumMod val="75000"/>
        <a:lumOff val="25000"/>
      </a:srgbClr>
    </cs:fontRef>
    <cs:defRPr sz="1400" b="1" kern="120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3566</Words>
  <Characters>4118</Characters>
  <Lines>44</Lines>
  <Paragraphs>12</Paragraphs>
  <TotalTime>4</TotalTime>
  <ScaleCrop>false</ScaleCrop>
  <LinksUpToDate>false</LinksUpToDate>
  <CharactersWithSpaces>4145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张雨</cp:lastModifiedBy>
  <cp:lastPrinted>2020-08-07T11:39:00Z</cp:lastPrinted>
  <dcterms:modified xsi:type="dcterms:W3CDTF">2024-09-06T10:49:29Z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49953774D5724D0C94A65044E8414D17_13</vt:lpwstr>
  </property>
</Properties>
</file>