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01954">
      <w:pPr>
        <w:jc w:val="center"/>
        <w:rPr>
          <w:rFonts w:ascii="仿宋_GB2312" w:eastAsia="仿宋_GB2312"/>
          <w:b/>
          <w:sz w:val="32"/>
          <w:szCs w:val="32"/>
        </w:rPr>
      </w:pPr>
    </w:p>
    <w:p w14:paraId="6ADA622E">
      <w:pPr>
        <w:jc w:val="center"/>
        <w:rPr>
          <w:rFonts w:ascii="黑体" w:eastAsia="黑体"/>
          <w:sz w:val="72"/>
          <w:szCs w:val="72"/>
        </w:rPr>
      </w:pPr>
    </w:p>
    <w:p w14:paraId="3EF754BD">
      <w:pPr>
        <w:jc w:val="center"/>
        <w:rPr>
          <w:rFonts w:ascii="黑体" w:eastAsia="黑体"/>
          <w:sz w:val="72"/>
          <w:szCs w:val="72"/>
        </w:rPr>
      </w:pPr>
    </w:p>
    <w:p w14:paraId="7EC7FDCB">
      <w:pPr>
        <w:jc w:val="center"/>
        <w:rPr>
          <w:rFonts w:ascii="黑体" w:eastAsia="黑体"/>
          <w:sz w:val="72"/>
          <w:szCs w:val="72"/>
        </w:rPr>
      </w:pPr>
    </w:p>
    <w:p w14:paraId="3BD2CDD3">
      <w:pPr>
        <w:jc w:val="center"/>
        <w:rPr>
          <w:rFonts w:ascii="黑体" w:eastAsia="黑体"/>
          <w:sz w:val="72"/>
          <w:szCs w:val="72"/>
        </w:rPr>
      </w:pPr>
    </w:p>
    <w:p w14:paraId="0B5802ED">
      <w:pPr>
        <w:jc w:val="center"/>
        <w:rPr>
          <w:rFonts w:ascii="黑体" w:eastAsia="黑体"/>
          <w:sz w:val="72"/>
          <w:szCs w:val="72"/>
        </w:rPr>
      </w:pPr>
      <w:r>
        <w:rPr>
          <w:rFonts w:hint="eastAsia" w:ascii="黑体" w:eastAsia="黑体"/>
          <w:sz w:val="72"/>
          <w:szCs w:val="72"/>
        </w:rPr>
        <w:t>2023年度部门决算公开</w:t>
      </w:r>
    </w:p>
    <w:p w14:paraId="7AB3954A">
      <w:pPr>
        <w:jc w:val="center"/>
        <w:rPr>
          <w:rFonts w:ascii="黑体" w:eastAsia="黑体"/>
          <w:sz w:val="52"/>
          <w:szCs w:val="52"/>
        </w:rPr>
      </w:pPr>
    </w:p>
    <w:p w14:paraId="347B0628">
      <w:pPr>
        <w:jc w:val="center"/>
        <w:rPr>
          <w:rFonts w:ascii="宋体" w:hAnsi="宋体"/>
          <w:sz w:val="36"/>
          <w:szCs w:val="36"/>
        </w:rPr>
      </w:pPr>
      <w:r>
        <w:rPr>
          <w:rFonts w:hint="eastAsia" w:ascii="宋体" w:hAnsi="宋体"/>
          <w:sz w:val="36"/>
          <w:szCs w:val="36"/>
        </w:rPr>
        <w:t>单位名称：北京国际科技合作中心（北京港澳台科技合作中心）</w:t>
      </w:r>
    </w:p>
    <w:p w14:paraId="425C0DBE">
      <w:pPr>
        <w:jc w:val="center"/>
        <w:rPr>
          <w:rFonts w:ascii="黑体" w:eastAsia="黑体"/>
          <w:sz w:val="52"/>
          <w:szCs w:val="52"/>
        </w:rPr>
      </w:pPr>
    </w:p>
    <w:p w14:paraId="3CDB31D9">
      <w:pPr>
        <w:jc w:val="center"/>
        <w:rPr>
          <w:rFonts w:ascii="黑体" w:eastAsia="黑体"/>
          <w:sz w:val="52"/>
          <w:szCs w:val="52"/>
        </w:rPr>
      </w:pPr>
    </w:p>
    <w:p w14:paraId="70FEDF4A">
      <w:pPr>
        <w:rPr>
          <w:rFonts w:hint="eastAsia" w:ascii="黑体" w:eastAsia="黑体"/>
          <w:sz w:val="32"/>
          <w:szCs w:val="32"/>
        </w:rPr>
      </w:pPr>
    </w:p>
    <w:p w14:paraId="06F8DD9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395C752">
      <w:pPr>
        <w:spacing w:line="500" w:lineRule="exact"/>
        <w:ind w:firstLine="645"/>
        <w:jc w:val="center"/>
        <w:rPr>
          <w:rFonts w:ascii="宋体" w:hAnsi="宋体" w:cs="宋体"/>
          <w:b/>
          <w:bCs/>
          <w:kern w:val="0"/>
          <w:sz w:val="36"/>
          <w:szCs w:val="36"/>
        </w:rPr>
      </w:pPr>
    </w:p>
    <w:p w14:paraId="21FAE33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44284C38">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4C293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EC764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422B33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34AE0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119F15A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6EDCE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765089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73E801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A8362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3ADC1BE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EFF806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073E15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38D121D0">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68E2E69E">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08E93D1A">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680C7431">
      <w:pPr>
        <w:tabs>
          <w:tab w:val="center" w:pos="6979"/>
        </w:tabs>
        <w:spacing w:before="156" w:beforeLines="50" w:after="156" w:afterLines="50"/>
        <w:jc w:val="center"/>
        <w:rPr>
          <w:rFonts w:ascii="宋体" w:hAnsi="宋体" w:cs="宋体"/>
          <w:b/>
          <w:bCs/>
          <w:spacing w:val="40"/>
          <w:kern w:val="0"/>
          <w:sz w:val="32"/>
          <w:szCs w:val="32"/>
        </w:rPr>
      </w:pPr>
    </w:p>
    <w:p w14:paraId="767C9CD2">
      <w:pPr>
        <w:tabs>
          <w:tab w:val="center" w:pos="6979"/>
        </w:tabs>
        <w:spacing w:before="156" w:beforeLines="50" w:after="156" w:afterLines="50"/>
        <w:jc w:val="center"/>
        <w:rPr>
          <w:rFonts w:ascii="宋体" w:hAnsi="宋体" w:cs="宋体"/>
          <w:b/>
          <w:bCs/>
          <w:spacing w:val="40"/>
          <w:kern w:val="0"/>
          <w:sz w:val="32"/>
          <w:szCs w:val="32"/>
        </w:rPr>
      </w:pPr>
    </w:p>
    <w:p w14:paraId="3F88F115">
      <w:pPr>
        <w:tabs>
          <w:tab w:val="center" w:pos="6979"/>
        </w:tabs>
        <w:spacing w:before="156" w:beforeLines="50" w:after="156" w:afterLines="50"/>
        <w:jc w:val="center"/>
        <w:rPr>
          <w:rFonts w:ascii="宋体" w:hAnsi="宋体" w:cs="宋体"/>
          <w:b/>
          <w:bCs/>
          <w:spacing w:val="40"/>
          <w:kern w:val="0"/>
          <w:sz w:val="32"/>
          <w:szCs w:val="32"/>
        </w:rPr>
      </w:pPr>
    </w:p>
    <w:p w14:paraId="361254C3">
      <w:pPr>
        <w:tabs>
          <w:tab w:val="center" w:pos="6979"/>
        </w:tabs>
        <w:spacing w:before="156" w:beforeLines="50" w:after="156" w:afterLines="50"/>
        <w:jc w:val="center"/>
        <w:rPr>
          <w:rFonts w:ascii="宋体" w:hAnsi="宋体" w:cs="宋体"/>
          <w:b/>
          <w:bCs/>
          <w:spacing w:val="40"/>
          <w:kern w:val="0"/>
          <w:sz w:val="32"/>
          <w:szCs w:val="32"/>
        </w:rPr>
      </w:pPr>
    </w:p>
    <w:p w14:paraId="6C25BCCB">
      <w:pPr>
        <w:tabs>
          <w:tab w:val="center" w:pos="6979"/>
        </w:tabs>
        <w:spacing w:before="156" w:beforeLines="50" w:after="156" w:afterLines="50"/>
        <w:jc w:val="center"/>
        <w:rPr>
          <w:rFonts w:ascii="宋体" w:hAnsi="宋体" w:cs="宋体"/>
          <w:b/>
          <w:bCs/>
          <w:spacing w:val="40"/>
          <w:kern w:val="0"/>
          <w:sz w:val="32"/>
          <w:szCs w:val="32"/>
        </w:rPr>
      </w:pPr>
    </w:p>
    <w:p w14:paraId="5666595A">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650CF276">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47E99ED">
      <w:pPr>
        <w:tabs>
          <w:tab w:val="center" w:pos="6979"/>
        </w:tabs>
        <w:spacing w:before="156" w:beforeLines="50" w:after="156" w:afterLines="50" w:line="560" w:lineRule="exact"/>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0C23619">
      <w:pPr>
        <w:tabs>
          <w:tab w:val="center" w:pos="6979"/>
        </w:tabs>
        <w:spacing w:line="560" w:lineRule="exact"/>
        <w:ind w:firstLine="548" w:firstLineChars="196"/>
        <w:rPr>
          <w:rFonts w:ascii="黑体" w:eastAsia="黑体"/>
          <w:b/>
          <w:sz w:val="28"/>
          <w:szCs w:val="28"/>
        </w:rPr>
      </w:pPr>
      <w:r>
        <w:rPr>
          <w:rFonts w:hint="eastAsia" w:ascii="黑体" w:eastAsia="黑体"/>
          <w:b/>
          <w:sz w:val="28"/>
          <w:szCs w:val="28"/>
        </w:rPr>
        <w:t>一、单位基本情况</w:t>
      </w:r>
    </w:p>
    <w:p w14:paraId="03E5DA6A">
      <w:pPr>
        <w:tabs>
          <w:tab w:val="center" w:pos="6979"/>
        </w:tabs>
        <w:spacing w:line="56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DF24DB0">
      <w:pPr>
        <w:spacing w:line="560" w:lineRule="exact"/>
        <w:ind w:firstLine="560" w:firstLineChars="200"/>
        <w:rPr>
          <w:rFonts w:ascii="仿宋_GB2312" w:eastAsia="仿宋_GB2312"/>
          <w:sz w:val="28"/>
          <w:szCs w:val="28"/>
        </w:rPr>
      </w:pPr>
      <w:r>
        <w:rPr>
          <w:rFonts w:hint="eastAsia" w:ascii="仿宋_GB2312" w:eastAsia="仿宋_GB2312"/>
          <w:sz w:val="28"/>
          <w:szCs w:val="28"/>
        </w:rPr>
        <w:t>北京国际科技合作中心（北京港澳台科技合作中心）根据中共北京市委机构编制委员会《关于市科委、中关村管委会所属事业单位改革有关事项的批复》（京编委〔2021〕66号）文件，将北京技术交易促进中心更名为北京国际科技合作中心（北京港澳台科技合作中心），</w:t>
      </w:r>
      <w:r>
        <w:rPr>
          <w:rFonts w:hint="eastAsia" w:ascii="仿宋_GB2312" w:hAnsi="仿宋_GB2312" w:eastAsia="仿宋_GB2312" w:cs="仿宋_GB2312"/>
          <w:color w:val="000000"/>
          <w:kern w:val="0"/>
          <w:sz w:val="28"/>
          <w:szCs w:val="28"/>
          <w:lang w:bidi="ar"/>
        </w:rPr>
        <w:t>是北京市科学技术委员会、中关村科技园区管理委员会所属正处级事业单位，单位性质为公益一类。</w:t>
      </w:r>
      <w:r>
        <w:rPr>
          <w:rFonts w:hint="eastAsia" w:ascii="仿宋_GB2312" w:eastAsia="仿宋_GB2312"/>
          <w:sz w:val="28"/>
          <w:szCs w:val="28"/>
        </w:rPr>
        <w:t>主要职责调整为：承担国际及港澳台科技合作有关规划政策研究、重大科技交往、科技合作、技术转移等事务性工作，承担驻海外联络处联络管理、重大科技会议和活动筹办等具体工作。</w:t>
      </w:r>
    </w:p>
    <w:p w14:paraId="1A77CEB8">
      <w:pPr>
        <w:spacing w:line="560" w:lineRule="exact"/>
        <w:ind w:firstLine="560" w:firstLineChars="200"/>
        <w:rPr>
          <w:sz w:val="28"/>
          <w:szCs w:val="28"/>
        </w:rPr>
      </w:pPr>
      <w:r>
        <w:rPr>
          <w:rFonts w:hint="eastAsia" w:ascii="仿宋_GB2312" w:eastAsia="仿宋_GB2312"/>
          <w:sz w:val="28"/>
          <w:szCs w:val="28"/>
        </w:rPr>
        <w:t>内设7个部门，分别为：国际组织部、创新服务部、欧美合作部、带路合作部、信息活动部、港澳台合作部、综合管理部。</w:t>
      </w:r>
    </w:p>
    <w:p w14:paraId="45BB5AF9">
      <w:pPr>
        <w:tabs>
          <w:tab w:val="center" w:pos="6979"/>
        </w:tabs>
        <w:spacing w:line="56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1D4E9AD1">
      <w:pPr>
        <w:tabs>
          <w:tab w:val="center" w:pos="6979"/>
        </w:tabs>
        <w:spacing w:line="56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行政编制0人，实有人数0人；事业编制51人，实有人数35人。</w:t>
      </w:r>
    </w:p>
    <w:p w14:paraId="457C7F1B">
      <w:pPr>
        <w:tabs>
          <w:tab w:val="center" w:pos="6979"/>
        </w:tabs>
        <w:spacing w:line="56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00B80BF">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2600.92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减少137.86万元，下降5.03%。</w:t>
      </w:r>
    </w:p>
    <w:p w14:paraId="22DB2403">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7899E78">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1948.24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减少567.67万元，下降22.56%。</w:t>
      </w:r>
    </w:p>
    <w:p w14:paraId="59A57EA2">
      <w:pPr>
        <w:tabs>
          <w:tab w:val="center" w:pos="6979"/>
        </w:tabs>
        <w:spacing w:line="56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1812.99</w:t>
      </w:r>
      <w:r>
        <w:rPr>
          <w:rFonts w:hint="eastAsia" w:ascii="仿宋_GB2312" w:eastAsia="仿宋_GB2312"/>
          <w:sz w:val="28"/>
          <w:szCs w:val="28"/>
        </w:rPr>
        <w:t>万元，占收入合计的</w:t>
      </w:r>
      <w:r>
        <w:rPr>
          <w:rFonts w:ascii="仿宋_GB2312" w:eastAsia="仿宋_GB2312"/>
          <w:sz w:val="28"/>
          <w:szCs w:val="28"/>
        </w:rPr>
        <w:t>93.0</w:t>
      </w:r>
      <w:r>
        <w:rPr>
          <w:rFonts w:hint="eastAsia" w:ascii="仿宋_GB2312" w:eastAsia="仿宋_GB2312"/>
          <w:sz w:val="28"/>
          <w:szCs w:val="28"/>
        </w:rPr>
        <w:t>6%。其中：一般公共预算财政拨款收入</w:t>
      </w:r>
      <w:r>
        <w:rPr>
          <w:rFonts w:ascii="仿宋_GB2312" w:eastAsia="仿宋_GB2312"/>
          <w:sz w:val="28"/>
          <w:szCs w:val="28"/>
        </w:rPr>
        <w:t>1812.99</w:t>
      </w:r>
      <w:r>
        <w:rPr>
          <w:rFonts w:hint="eastAsia" w:ascii="仿宋_GB2312" w:eastAsia="仿宋_GB2312"/>
          <w:sz w:val="28"/>
          <w:szCs w:val="28"/>
        </w:rPr>
        <w:t>万元，占收入合计的</w:t>
      </w:r>
      <w:r>
        <w:rPr>
          <w:rFonts w:ascii="仿宋_GB2312" w:eastAsia="仿宋_GB2312"/>
          <w:sz w:val="28"/>
          <w:szCs w:val="28"/>
        </w:rPr>
        <w:t>93.0</w:t>
      </w:r>
      <w:r>
        <w:rPr>
          <w:rFonts w:hint="eastAsia" w:ascii="仿宋_GB2312" w:eastAsia="仿宋_GB2312"/>
          <w:sz w:val="28"/>
          <w:szCs w:val="28"/>
        </w:rPr>
        <w:t>6%；政府性基金预算财政拨款收入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99C6150">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C973675">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75494EF2">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47C19D2">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89FD46E">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135.25</w:t>
      </w:r>
      <w:r>
        <w:rPr>
          <w:rFonts w:hint="eastAsia" w:ascii="仿宋_GB2312" w:eastAsia="仿宋_GB2312"/>
          <w:sz w:val="28"/>
          <w:szCs w:val="28"/>
        </w:rPr>
        <w:t>万元，占收入合计的</w:t>
      </w:r>
      <w:r>
        <w:rPr>
          <w:rFonts w:ascii="仿宋_GB2312" w:eastAsia="仿宋_GB2312"/>
          <w:sz w:val="28"/>
          <w:szCs w:val="28"/>
        </w:rPr>
        <w:t>6.94</w:t>
      </w:r>
      <w:r>
        <w:rPr>
          <w:rFonts w:hint="eastAsia" w:ascii="仿宋_GB2312" w:eastAsia="仿宋_GB2312"/>
          <w:sz w:val="28"/>
          <w:szCs w:val="28"/>
        </w:rPr>
        <w:t>%。</w:t>
      </w:r>
    </w:p>
    <w:p w14:paraId="43E6FD8C">
      <w:pPr>
        <w:spacing w:line="560" w:lineRule="exact"/>
        <w:ind w:firstLine="5446" w:firstLineChars="1702"/>
        <w:rPr>
          <w:rFonts w:ascii="仿宋_GB2312" w:hAnsi="Cambria" w:eastAsia="仿宋_GB2312"/>
          <w:b/>
          <w:bCs/>
          <w:color w:val="000000"/>
          <w:kern w:val="0"/>
          <w:sz w:val="32"/>
          <w:szCs w:val="32"/>
        </w:rPr>
      </w:pPr>
      <w:r>
        <w:rPr>
          <w:rFonts w:ascii="仿宋_GB2312" w:hAnsi="Cambria" w:eastAsia="仿宋_GB2312"/>
          <w:b/>
          <w:bCs/>
          <w:color w:val="000000"/>
          <w:kern w:val="0"/>
          <w:sz w:val="32"/>
          <w:szCs w:val="32"/>
        </w:rPr>
        <w:drawing>
          <wp:anchor distT="0" distB="0" distL="114300" distR="114300" simplePos="0" relativeHeight="251659264" behindDoc="0" locked="0" layoutInCell="1" allowOverlap="1">
            <wp:simplePos x="0" y="0"/>
            <wp:positionH relativeFrom="column">
              <wp:posOffset>1875155</wp:posOffset>
            </wp:positionH>
            <wp:positionV relativeFrom="paragraph">
              <wp:posOffset>628650</wp:posOffset>
            </wp:positionV>
            <wp:extent cx="4854575" cy="2703195"/>
            <wp:effectExtent l="4445" t="4445" r="17780" b="16510"/>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hAnsi="Cambria" w:eastAsia="仿宋_GB2312"/>
          <w:b/>
          <w:bCs/>
          <w:color w:val="000000"/>
          <w:kern w:val="0"/>
          <w:sz w:val="32"/>
          <w:szCs w:val="32"/>
        </w:rPr>
        <w:t>图1：收入决算</w:t>
      </w:r>
    </w:p>
    <w:p w14:paraId="0804F490">
      <w:pPr>
        <w:tabs>
          <w:tab w:val="center" w:pos="6979"/>
        </w:tabs>
        <w:spacing w:line="560" w:lineRule="exact"/>
        <w:ind w:firstLine="570"/>
        <w:rPr>
          <w:rFonts w:ascii="仿宋_GB2312" w:eastAsia="仿宋_GB2312"/>
          <w:sz w:val="28"/>
          <w:szCs w:val="28"/>
        </w:rPr>
      </w:pPr>
    </w:p>
    <w:p w14:paraId="0118802B">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4C0D39B">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1925.9</w:t>
      </w:r>
      <w:r>
        <w:rPr>
          <w:rFonts w:hint="eastAsia" w:ascii="仿宋_GB2312" w:eastAsia="仿宋_GB2312"/>
          <w:sz w:val="28"/>
          <w:szCs w:val="28"/>
        </w:rPr>
        <w:t>0万元，</w:t>
      </w:r>
      <w:r>
        <w:rPr>
          <w:rFonts w:ascii="仿宋_GB2312" w:eastAsia="仿宋_GB2312"/>
          <w:sz w:val="28"/>
          <w:szCs w:val="28"/>
        </w:rPr>
        <w:t>比上年</w:t>
      </w:r>
      <w:r>
        <w:rPr>
          <w:rFonts w:hint="eastAsia" w:ascii="仿宋_GB2312" w:eastAsia="仿宋_GB2312"/>
          <w:sz w:val="28"/>
          <w:szCs w:val="28"/>
        </w:rPr>
        <w:t>增加296.49万元，增长18.20%，其中：基本支出</w:t>
      </w:r>
      <w:r>
        <w:rPr>
          <w:rFonts w:ascii="仿宋_GB2312" w:eastAsia="仿宋_GB2312"/>
          <w:sz w:val="28"/>
          <w:szCs w:val="28"/>
        </w:rPr>
        <w:t>1401.02</w:t>
      </w:r>
      <w:r>
        <w:rPr>
          <w:rFonts w:hint="eastAsia" w:ascii="仿宋_GB2312" w:eastAsia="仿宋_GB2312"/>
          <w:sz w:val="28"/>
          <w:szCs w:val="28"/>
        </w:rPr>
        <w:t>万元，占支出合计的</w:t>
      </w:r>
      <w:r>
        <w:rPr>
          <w:rFonts w:ascii="仿宋_GB2312" w:eastAsia="仿宋_GB2312"/>
          <w:sz w:val="28"/>
          <w:szCs w:val="28"/>
        </w:rPr>
        <w:t>72.7</w:t>
      </w:r>
      <w:r>
        <w:rPr>
          <w:rFonts w:hint="eastAsia" w:ascii="仿宋_GB2312" w:eastAsia="仿宋_GB2312"/>
          <w:sz w:val="28"/>
          <w:szCs w:val="28"/>
        </w:rPr>
        <w:t>5%；项目支出</w:t>
      </w:r>
      <w:r>
        <w:rPr>
          <w:rFonts w:ascii="仿宋_GB2312" w:eastAsia="仿宋_GB2312"/>
          <w:sz w:val="28"/>
          <w:szCs w:val="28"/>
        </w:rPr>
        <w:t>524.88</w:t>
      </w:r>
      <w:r>
        <w:rPr>
          <w:rFonts w:hint="eastAsia" w:ascii="仿宋_GB2312" w:eastAsia="仿宋_GB2312"/>
          <w:sz w:val="28"/>
          <w:szCs w:val="28"/>
        </w:rPr>
        <w:t>万元，占支出合计的</w:t>
      </w:r>
      <w:r>
        <w:rPr>
          <w:rFonts w:ascii="仿宋_GB2312" w:eastAsia="仿宋_GB2312"/>
          <w:sz w:val="28"/>
          <w:szCs w:val="28"/>
        </w:rPr>
        <w:t>27.25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6D42F19A">
      <w:pPr>
        <w:pStyle w:val="3"/>
        <w:spacing w:line="560" w:lineRule="exact"/>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30CF6F5">
      <w:pPr>
        <w:spacing w:line="560" w:lineRule="exact"/>
        <w:jc w:val="center"/>
        <w:rPr>
          <w:rFonts w:ascii="黑体" w:eastAsia="黑体"/>
          <w:b/>
          <w:sz w:val="28"/>
          <w:szCs w:val="28"/>
        </w:rPr>
      </w:pPr>
      <w:r>
        <w:drawing>
          <wp:anchor distT="0" distB="0" distL="114300" distR="114300" simplePos="0" relativeHeight="251660288" behindDoc="0" locked="0" layoutInCell="1" allowOverlap="1">
            <wp:simplePos x="0" y="0"/>
            <wp:positionH relativeFrom="column">
              <wp:posOffset>2309495</wp:posOffset>
            </wp:positionH>
            <wp:positionV relativeFrom="paragraph">
              <wp:posOffset>10160</wp:posOffset>
            </wp:positionV>
            <wp:extent cx="4923790" cy="2954655"/>
            <wp:effectExtent l="4445" t="4445" r="5715" b="12700"/>
            <wp:wrapTopAndBottom/>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14:paraId="4BF2787A">
      <w:pPr>
        <w:tabs>
          <w:tab w:val="center" w:pos="6979"/>
        </w:tabs>
        <w:spacing w:line="560" w:lineRule="exact"/>
        <w:ind w:firstLine="548" w:firstLineChars="196"/>
        <w:rPr>
          <w:rFonts w:ascii="黑体" w:eastAsia="黑体"/>
          <w:b/>
          <w:sz w:val="28"/>
          <w:szCs w:val="28"/>
        </w:rPr>
      </w:pPr>
    </w:p>
    <w:p w14:paraId="52AC11A7">
      <w:pPr>
        <w:tabs>
          <w:tab w:val="center" w:pos="6979"/>
        </w:tabs>
        <w:spacing w:line="56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0888A8D">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1934.73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1355.36万元，增长233.94%。主要原因：事业单位改革完成后，根据单位职责相关经费调整到本单位执行</w:t>
      </w:r>
      <w:bookmarkStart w:id="0" w:name="_GoBack"/>
      <w:bookmarkEnd w:id="0"/>
      <w:r>
        <w:rPr>
          <w:rFonts w:hint="eastAsia" w:ascii="仿宋_GB2312" w:eastAsia="仿宋_GB2312"/>
          <w:sz w:val="28"/>
          <w:szCs w:val="28"/>
        </w:rPr>
        <w:t>。</w:t>
      </w:r>
    </w:p>
    <w:p w14:paraId="607BB03A">
      <w:pPr>
        <w:tabs>
          <w:tab w:val="center" w:pos="6979"/>
        </w:tabs>
        <w:spacing w:line="56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7043899">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（一）一般公共预算财政拨款支出决算总体情况</w:t>
      </w:r>
    </w:p>
    <w:p w14:paraId="0C394226">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2023年度一般公共预算财政拨款支出1651.18万元，主要用于以下方面（按大类）：科学技术支出1418.20万元，占本年财政拨款支出85.89%；社会保障和就业支出152.21万元，占本年财政拨款支出9.22%；卫生健康支出80.77万元，占本年财政拨款支出4.89% 。</w:t>
      </w:r>
    </w:p>
    <w:p w14:paraId="6618C6DA">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（二）一般公共预算财政拨款支出决算具体情况</w:t>
      </w:r>
    </w:p>
    <w:p w14:paraId="21D8A4BC">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1、“科学技术支出”（类）2023年度决算1418.20万元，比2023年年初预算减少671.18万元，下降32.12%。其中：</w:t>
      </w:r>
    </w:p>
    <w:p w14:paraId="119239C2">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“应用研究”（款）2023年度决算926.72万元，比2023年年初预算减少69.09万元，下降6.93%。主要原因：由于人员变动等因素，</w:t>
      </w:r>
      <w:r>
        <w:rPr>
          <w:rFonts w:hint="eastAsia" w:ascii="仿宋_GB2312" w:hAnsi="仿宋" w:eastAsia="仿宋_GB2312"/>
          <w:sz w:val="28"/>
          <w:szCs w:val="28"/>
        </w:rPr>
        <w:t>减少相关经费支出</w:t>
      </w:r>
      <w:r>
        <w:rPr>
          <w:rFonts w:hint="eastAsia" w:ascii="仿宋_GB2312" w:eastAsia="仿宋_GB2312"/>
          <w:sz w:val="28"/>
          <w:szCs w:val="28"/>
        </w:rPr>
        <w:t>。</w:t>
      </w:r>
    </w:p>
    <w:p w14:paraId="5276EF6C">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科技条件与服务”（款）2023年度决算491.48万元，比2023年年初预算减少341.15万元，下降40.97%。主要原因：根据工作安排，本年度减少“北京创新主体国际科技合作能力提升”、“北京国际（港澳台）科技合作资源拓展”和“国际组织对接及大科学计划培育”等项目经费。</w:t>
      </w:r>
    </w:p>
    <w:p w14:paraId="22F00D5A">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2、“社会保障和就业”（类）2023年度决算152.21万元，比2023年年初预算减少21.80万元，下降12.53%。其中：</w:t>
      </w:r>
    </w:p>
    <w:p w14:paraId="7E79F026">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“行政事业单位养老支出”（款）2023年度决算152.21万元，比2023年年初预算减少21.80万元，下降12.53%。主要原因：由于人员变动等因素，</w:t>
      </w:r>
      <w:r>
        <w:rPr>
          <w:rFonts w:hint="eastAsia" w:ascii="仿宋_GB2312" w:hAnsi="仿宋" w:eastAsia="仿宋_GB2312"/>
          <w:sz w:val="28"/>
          <w:szCs w:val="28"/>
        </w:rPr>
        <w:t>减少相关经费支出</w:t>
      </w:r>
      <w:r>
        <w:rPr>
          <w:rFonts w:hint="eastAsia" w:ascii="仿宋_GB2312" w:eastAsia="仿宋_GB2312"/>
          <w:sz w:val="28"/>
          <w:szCs w:val="28"/>
        </w:rPr>
        <w:t>。</w:t>
      </w:r>
    </w:p>
    <w:p w14:paraId="25F915D5">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3、“卫生健康支出”（类）2023年度决算80.77万元，比2023年年初预算减少6.16万元，下降7.09%。其中：</w:t>
      </w:r>
    </w:p>
    <w:p w14:paraId="0FEE79FB">
      <w:pPr>
        <w:tabs>
          <w:tab w:val="center" w:pos="6979"/>
        </w:tabs>
        <w:spacing w:line="560" w:lineRule="exact"/>
        <w:ind w:firstLine="570"/>
        <w:rPr>
          <w:rFonts w:ascii="仿宋_GB2312" w:eastAsia="仿宋_GB2312"/>
          <w:sz w:val="28"/>
          <w:szCs w:val="28"/>
        </w:rPr>
      </w:pPr>
      <w:r>
        <w:rPr>
          <w:rFonts w:hint="eastAsia" w:ascii="仿宋_GB2312" w:eastAsia="仿宋_GB2312"/>
          <w:sz w:val="28"/>
          <w:szCs w:val="28"/>
        </w:rPr>
        <w:t>“事业单位医疗”（款）2023年度决算80.77万元，比2023年年初预算减少6.16万元，下降7.09%。主要原因：由于人员变动等因素，</w:t>
      </w:r>
      <w:r>
        <w:rPr>
          <w:rFonts w:hint="eastAsia" w:ascii="仿宋_GB2312" w:hAnsi="仿宋" w:eastAsia="仿宋_GB2312"/>
          <w:sz w:val="28"/>
          <w:szCs w:val="28"/>
        </w:rPr>
        <w:t>减少相关经费支出</w:t>
      </w:r>
      <w:r>
        <w:rPr>
          <w:rFonts w:hint="eastAsia" w:ascii="仿宋_GB2312" w:eastAsia="仿宋_GB2312"/>
          <w:sz w:val="28"/>
          <w:szCs w:val="28"/>
        </w:rPr>
        <w:t>。</w:t>
      </w:r>
    </w:p>
    <w:p w14:paraId="7924A3E3">
      <w:pPr>
        <w:spacing w:line="56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79E12BE0">
      <w:pPr>
        <w:spacing w:line="560" w:lineRule="exact"/>
        <w:ind w:firstLine="548" w:firstLineChars="196"/>
        <w:rPr>
          <w:rFonts w:ascii="仿宋_GB2312" w:eastAsia="仿宋_GB2312"/>
          <w:sz w:val="28"/>
          <w:szCs w:val="28"/>
        </w:rPr>
      </w:pPr>
      <w:r>
        <w:rPr>
          <w:rFonts w:hint="eastAsia" w:ascii="仿宋_GB2312" w:eastAsia="仿宋_GB2312"/>
          <w:sz w:val="28"/>
          <w:szCs w:val="28"/>
        </w:rPr>
        <w:t>本年度无此项支出。</w:t>
      </w:r>
    </w:p>
    <w:p w14:paraId="7AFBB281">
      <w:pPr>
        <w:spacing w:line="56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80126A6">
      <w:pPr>
        <w:spacing w:line="560" w:lineRule="exact"/>
        <w:ind w:firstLine="548" w:firstLineChars="196"/>
        <w:rPr>
          <w:rFonts w:hint="eastAsia" w:ascii="仿宋_GB2312" w:eastAsia="仿宋_GB2312"/>
          <w:sz w:val="28"/>
          <w:szCs w:val="28"/>
        </w:rPr>
      </w:pPr>
      <w:r>
        <w:rPr>
          <w:rFonts w:hint="eastAsia" w:ascii="仿宋_GB2312" w:eastAsia="仿宋_GB2312"/>
          <w:sz w:val="28"/>
          <w:szCs w:val="28"/>
        </w:rPr>
        <w:t>2023年度国有资本经营预算财政拨款收入总计0万元，国有资本经营预算财政拨款支出总计0万元。</w:t>
      </w:r>
    </w:p>
    <w:p w14:paraId="705F97E7">
      <w:pPr>
        <w:spacing w:line="56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6C54DD4C">
      <w:pPr>
        <w:tabs>
          <w:tab w:val="center" w:pos="6979"/>
        </w:tabs>
        <w:spacing w:line="56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1159.7</w:t>
      </w:r>
      <w:r>
        <w:rPr>
          <w:rFonts w:hint="eastAsia" w:ascii="仿宋_GB2312" w:eastAsia="仿宋_GB2312"/>
          <w:sz w:val="28"/>
          <w:szCs w:val="28"/>
        </w:rPr>
        <w:t>0万元，使用政府性基金财政拨款安排基本支出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A452E4D">
      <w:pPr>
        <w:autoSpaceDE w:val="0"/>
        <w:autoSpaceDN w:val="0"/>
        <w:adjustRightInd w:val="0"/>
        <w:spacing w:line="56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6866F670">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2045ABA2">
      <w:pPr>
        <w:spacing w:line="560" w:lineRule="exact"/>
        <w:ind w:firstLine="537" w:firstLineChars="192"/>
        <w:rPr>
          <w:rFonts w:ascii="仿宋_GB2312" w:eastAsia="仿宋_GB2312"/>
          <w:sz w:val="28"/>
          <w:szCs w:val="28"/>
        </w:rPr>
      </w:pPr>
      <w:r>
        <w:rPr>
          <w:rFonts w:hint="eastAsia" w:ascii="仿宋_GB2312" w:eastAsia="仿宋_GB2312"/>
          <w:sz w:val="28"/>
          <w:szCs w:val="28"/>
        </w:rPr>
        <w:t>本年度无此项支出。</w:t>
      </w:r>
    </w:p>
    <w:p w14:paraId="3FF8C0AB">
      <w:pPr>
        <w:tabs>
          <w:tab w:val="center" w:pos="6979"/>
        </w:tabs>
        <w:spacing w:line="560" w:lineRule="exact"/>
        <w:ind w:firstLine="554" w:firstLineChars="198"/>
        <w:rPr>
          <w:rFonts w:ascii="黑体" w:eastAsia="黑体"/>
          <w:sz w:val="28"/>
          <w:szCs w:val="28"/>
        </w:rPr>
      </w:pPr>
      <w:r>
        <w:rPr>
          <w:rFonts w:hint="eastAsia" w:ascii="黑体" w:eastAsia="黑体"/>
          <w:sz w:val="28"/>
          <w:szCs w:val="28"/>
        </w:rPr>
        <w:t>二、机关运行经费支出情况</w:t>
      </w:r>
    </w:p>
    <w:p w14:paraId="7E8246CE">
      <w:pPr>
        <w:spacing w:line="560" w:lineRule="exact"/>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14:paraId="4B7F9003">
      <w:pPr>
        <w:spacing w:line="560" w:lineRule="exact"/>
        <w:ind w:left="540"/>
        <w:rPr>
          <w:rFonts w:ascii="黑体" w:eastAsia="黑体"/>
          <w:sz w:val="28"/>
          <w:szCs w:val="28"/>
        </w:rPr>
      </w:pPr>
      <w:r>
        <w:rPr>
          <w:rFonts w:hint="eastAsia" w:ascii="黑体" w:eastAsia="黑体"/>
          <w:sz w:val="28"/>
          <w:szCs w:val="28"/>
        </w:rPr>
        <w:t>三、政府采购支出情况</w:t>
      </w:r>
    </w:p>
    <w:p w14:paraId="7DA89C04">
      <w:pPr>
        <w:spacing w:line="560" w:lineRule="exact"/>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137.45</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137.45</w:t>
      </w:r>
      <w:r>
        <w:rPr>
          <w:rFonts w:hint="eastAsia" w:ascii="仿宋_GB2312" w:eastAsia="仿宋_GB2312"/>
          <w:sz w:val="28"/>
          <w:szCs w:val="28"/>
        </w:rPr>
        <w:t>万元。授予中小企业合同金额</w:t>
      </w:r>
      <w:r>
        <w:rPr>
          <w:rFonts w:ascii="仿宋_GB2312" w:eastAsia="仿宋_GB2312"/>
          <w:sz w:val="28"/>
          <w:szCs w:val="28"/>
        </w:rPr>
        <w:t>106.45</w:t>
      </w:r>
      <w:r>
        <w:rPr>
          <w:rFonts w:hint="eastAsia" w:ascii="仿宋_GB2312" w:eastAsia="仿宋_GB2312"/>
          <w:sz w:val="28"/>
          <w:szCs w:val="28"/>
        </w:rPr>
        <w:t>万元，占政府采购支出总额的</w:t>
      </w:r>
      <w:r>
        <w:rPr>
          <w:rFonts w:ascii="仿宋_GB2312" w:eastAsia="仿宋_GB2312"/>
          <w:sz w:val="28"/>
          <w:szCs w:val="28"/>
        </w:rPr>
        <w:t>77.44</w:t>
      </w:r>
      <w:r>
        <w:rPr>
          <w:rFonts w:hint="eastAsia" w:ascii="仿宋_GB2312" w:eastAsia="仿宋_GB2312"/>
          <w:sz w:val="28"/>
          <w:szCs w:val="28"/>
        </w:rPr>
        <w:t>%，其中：授予小微企业合同金额</w:t>
      </w:r>
      <w:r>
        <w:rPr>
          <w:rFonts w:ascii="仿宋_GB2312" w:eastAsia="仿宋_GB2312"/>
          <w:sz w:val="28"/>
          <w:szCs w:val="28"/>
        </w:rPr>
        <w:t>95.64</w:t>
      </w:r>
      <w:r>
        <w:rPr>
          <w:rFonts w:hint="eastAsia" w:ascii="仿宋_GB2312" w:eastAsia="仿宋_GB2312"/>
          <w:sz w:val="28"/>
          <w:szCs w:val="28"/>
        </w:rPr>
        <w:t>万元，占政府采购支出总额的</w:t>
      </w:r>
      <w:r>
        <w:rPr>
          <w:rFonts w:ascii="仿宋_GB2312" w:eastAsia="仿宋_GB2312"/>
          <w:sz w:val="28"/>
          <w:szCs w:val="28"/>
        </w:rPr>
        <w:t>69.58</w:t>
      </w:r>
      <w:r>
        <w:rPr>
          <w:rFonts w:hint="eastAsia" w:ascii="仿宋_GB2312" w:eastAsia="仿宋_GB2312"/>
          <w:sz w:val="28"/>
          <w:szCs w:val="28"/>
        </w:rPr>
        <w:t>%。</w:t>
      </w:r>
    </w:p>
    <w:p w14:paraId="43A05610">
      <w:pPr>
        <w:spacing w:line="560" w:lineRule="exact"/>
        <w:ind w:firstLine="560" w:firstLineChars="200"/>
        <w:rPr>
          <w:rFonts w:ascii="黑体" w:eastAsia="黑体"/>
          <w:sz w:val="28"/>
          <w:szCs w:val="28"/>
          <w:highlight w:val="yellow"/>
        </w:rPr>
      </w:pPr>
      <w:r>
        <w:rPr>
          <w:rFonts w:hint="eastAsia" w:ascii="黑体" w:eastAsia="黑体"/>
          <w:sz w:val="28"/>
          <w:szCs w:val="28"/>
        </w:rPr>
        <w:t>四、国有资产占用情况</w:t>
      </w:r>
    </w:p>
    <w:p w14:paraId="06FC7787">
      <w:pPr>
        <w:spacing w:line="560" w:lineRule="exact"/>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2023年度新购置车辆0台，共计0万元；新购置单位价值100万元（含）以上的设备0台（套），共计0万元。截至12月31日，北京国际科技合作中心（北京港澳台科技合作中心）共有车辆1台，共计</w:t>
      </w:r>
      <w:r>
        <w:rPr>
          <w:rFonts w:ascii="仿宋_GB2312" w:eastAsia="仿宋_GB2312"/>
          <w:sz w:val="28"/>
          <w:szCs w:val="28"/>
        </w:rPr>
        <w:t>22.56</w:t>
      </w:r>
      <w:r>
        <w:rPr>
          <w:rFonts w:hint="eastAsia" w:ascii="仿宋_GB2312" w:eastAsia="仿宋_GB2312"/>
          <w:sz w:val="28"/>
          <w:szCs w:val="28"/>
        </w:rPr>
        <w:t>万元；单位价值100万元（含）以上的设备0台（套），共计0万元。</w:t>
      </w:r>
    </w:p>
    <w:p w14:paraId="7EDBCC8C">
      <w:pPr>
        <w:spacing w:line="560" w:lineRule="exact"/>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9415CE6">
      <w:pPr>
        <w:spacing w:line="560" w:lineRule="exact"/>
        <w:ind w:firstLine="537" w:firstLineChars="192"/>
        <w:rPr>
          <w:rFonts w:ascii="仿宋_GB2312" w:eastAsia="仿宋_GB2312"/>
          <w:sz w:val="28"/>
          <w:szCs w:val="28"/>
        </w:rPr>
      </w:pPr>
      <w:r>
        <w:rPr>
          <w:rFonts w:hint="eastAsia" w:ascii="仿宋_GB2312" w:eastAsia="仿宋_GB2312"/>
          <w:sz w:val="28"/>
          <w:szCs w:val="28"/>
        </w:rPr>
        <w:t>本单位不属于政府购买服务购买主体。</w:t>
      </w:r>
    </w:p>
    <w:p w14:paraId="568047E3">
      <w:pPr>
        <w:spacing w:line="560" w:lineRule="exact"/>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95895C6">
      <w:pPr>
        <w:spacing w:line="560" w:lineRule="exact"/>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1A03839">
      <w:pPr>
        <w:spacing w:line="560" w:lineRule="exact"/>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890D18A">
      <w:pPr>
        <w:spacing w:line="560" w:lineRule="exact"/>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6298713">
      <w:pPr>
        <w:spacing w:line="560" w:lineRule="exact"/>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EEA54F2">
      <w:pPr>
        <w:spacing w:line="560" w:lineRule="exact"/>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C449F0C">
      <w:pPr>
        <w:spacing w:line="560" w:lineRule="exact"/>
        <w:ind w:firstLine="560" w:firstLineChars="200"/>
        <w:rPr>
          <w:rFonts w:ascii="仿宋_GB2312" w:eastAsia="仿宋_GB2312"/>
          <w:b/>
          <w:color w:val="000000"/>
          <w:spacing w:val="-2"/>
          <w:sz w:val="32"/>
          <w:szCs w:val="32"/>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75BAE6C">
      <w:pPr>
        <w:spacing w:line="560" w:lineRule="exact"/>
        <w:ind w:firstLine="560" w:firstLineChars="200"/>
        <w:rPr>
          <w:rFonts w:ascii="仿宋_GB2312" w:eastAsia="仿宋_GB2312"/>
          <w:sz w:val="28"/>
          <w:szCs w:val="28"/>
        </w:rPr>
      </w:pPr>
      <w:r>
        <w:rPr>
          <w:rFonts w:hint="eastAsia" w:ascii="仿宋_GB2312" w:eastAsia="仿宋_GB2312"/>
          <w:sz w:val="28"/>
          <w:szCs w:val="28"/>
        </w:rPr>
        <w:t>7. 支出功能分类项级科目名词解释</w:t>
      </w:r>
    </w:p>
    <w:p w14:paraId="6234BCB7">
      <w:pPr>
        <w:spacing w:line="560" w:lineRule="exact"/>
        <w:ind w:firstLine="560" w:firstLineChars="200"/>
        <w:rPr>
          <w:rFonts w:ascii="仿宋_GB2312" w:eastAsia="仿宋_GB2312"/>
          <w:sz w:val="28"/>
          <w:szCs w:val="28"/>
        </w:rPr>
      </w:pPr>
      <w:r>
        <w:rPr>
          <w:rFonts w:hint="eastAsia" w:ascii="仿宋_GB2312" w:eastAsia="仿宋_GB2312"/>
          <w:sz w:val="28"/>
          <w:szCs w:val="28"/>
        </w:rPr>
        <w:t>（1）科学技术支出（类）应用研究（款）机构运行（项）（2060301）：反映应用研究机构的基</w:t>
      </w:r>
      <w:r>
        <w:rPr>
          <w:rFonts w:ascii="仿宋_GB2312" w:eastAsia="仿宋_GB2312"/>
          <w:sz w:val="28"/>
          <w:szCs w:val="28"/>
        </w:rPr>
        <w:t>本支出。</w:t>
      </w:r>
    </w:p>
    <w:p w14:paraId="2BB02DF0">
      <w:pPr>
        <w:spacing w:line="560" w:lineRule="exact"/>
        <w:ind w:firstLine="560" w:firstLineChars="200"/>
        <w:rPr>
          <w:rFonts w:ascii="仿宋_GB2312" w:eastAsia="仿宋_GB2312"/>
          <w:sz w:val="28"/>
          <w:szCs w:val="28"/>
        </w:rPr>
      </w:pPr>
      <w:r>
        <w:rPr>
          <w:rFonts w:hint="eastAsia" w:ascii="仿宋_GB2312" w:eastAsia="仿宋_GB2312"/>
          <w:sz w:val="28"/>
          <w:szCs w:val="28"/>
        </w:rPr>
        <w:t>（2）科学技术支出（类）科技条件与服务（款）机构运行（项）（2060501）：反映科技服务机构的基本支出。</w:t>
      </w:r>
    </w:p>
    <w:p w14:paraId="680C5331">
      <w:pPr>
        <w:spacing w:line="560" w:lineRule="exact"/>
        <w:ind w:firstLine="560" w:firstLineChars="200"/>
        <w:rPr>
          <w:rFonts w:ascii="仿宋_GB2312" w:eastAsia="仿宋_GB2312"/>
          <w:sz w:val="28"/>
          <w:szCs w:val="28"/>
        </w:rPr>
      </w:pPr>
      <w:r>
        <w:rPr>
          <w:rFonts w:hint="eastAsia" w:ascii="仿宋_GB2312" w:eastAsia="仿宋_GB2312"/>
          <w:sz w:val="28"/>
          <w:szCs w:val="28"/>
        </w:rPr>
        <w:t>（3）科学技术支出（类）科技条件与服务（款）科技条件专项（项）（2060503）：反映国家用于完善科技条件的支出，包括科技文献信息、网络环境支撑等科技条件专项支出等。</w:t>
      </w:r>
    </w:p>
    <w:p w14:paraId="25E12F59">
      <w:pPr>
        <w:spacing w:line="560" w:lineRule="exact"/>
        <w:ind w:firstLine="420" w:firstLineChars="200"/>
        <w:rPr>
          <w:rFonts w:ascii="仿宋_GB2312" w:eastAsia="仿宋_GB2312"/>
          <w:sz w:val="28"/>
          <w:szCs w:val="28"/>
        </w:rPr>
      </w:pPr>
      <w:r>
        <w:rPr>
          <w:rFonts w:hint="eastAsia"/>
        </w:rPr>
        <w:t xml:space="preserve"> </w:t>
      </w:r>
      <w:r>
        <w:rPr>
          <w:rFonts w:hint="eastAsia" w:ascii="仿宋_GB2312" w:eastAsia="仿宋_GB2312"/>
          <w:sz w:val="28"/>
          <w:szCs w:val="28"/>
        </w:rPr>
        <w:t>（4）社会保障和就业支出（类）行政事业单位养老支出（款）事业单位离退休（项2080502）：反映用于行政事业单位离退休方面的</w:t>
      </w:r>
      <w:r>
        <w:rPr>
          <w:rFonts w:ascii="仿宋_GB2312" w:eastAsia="仿宋_GB2312"/>
          <w:sz w:val="28"/>
          <w:szCs w:val="28"/>
        </w:rPr>
        <w:t>支出。</w:t>
      </w:r>
    </w:p>
    <w:p w14:paraId="18978532">
      <w:pPr>
        <w:spacing w:line="560" w:lineRule="exact"/>
        <w:ind w:firstLine="560" w:firstLineChars="200"/>
        <w:rPr>
          <w:rFonts w:ascii="仿宋_GB2312" w:hAnsi="仿宋_GB2312" w:eastAsia="仿宋_GB2312" w:cs="仿宋_GB2312"/>
          <w:color w:val="333333"/>
          <w:sz w:val="28"/>
          <w:szCs w:val="28"/>
        </w:rPr>
      </w:pPr>
      <w:r>
        <w:rPr>
          <w:rFonts w:hint="eastAsia" w:ascii="仿宋_GB2312" w:eastAsia="仿宋_GB2312"/>
          <w:sz w:val="28"/>
          <w:szCs w:val="28"/>
        </w:rPr>
        <w:t>（5）社会保障和就业支出（类）行政事业单位养老支出（款）机关事业单位基本养老保险缴费支出（项2080505）：</w:t>
      </w:r>
      <w:r>
        <w:rPr>
          <w:rFonts w:hint="eastAsia" w:ascii="仿宋_GB2312" w:hAnsi="仿宋_GB2312" w:eastAsia="仿宋_GB2312" w:cs="仿宋_GB2312"/>
          <w:color w:val="333333"/>
          <w:sz w:val="28"/>
          <w:szCs w:val="28"/>
        </w:rPr>
        <w:t>反映机关事业单位实施养老保险制度由单位缴纳的基本养老保险费支出。</w:t>
      </w:r>
    </w:p>
    <w:p w14:paraId="7DAA19F7">
      <w:pPr>
        <w:spacing w:line="560" w:lineRule="exact"/>
        <w:ind w:firstLine="560" w:firstLineChars="200"/>
        <w:rPr>
          <w:rFonts w:ascii="仿宋_GB2312" w:hAnsi="仿宋_GB2312" w:eastAsia="仿宋_GB2312" w:cs="仿宋_GB2312"/>
          <w:color w:val="333333"/>
          <w:sz w:val="28"/>
          <w:szCs w:val="28"/>
        </w:rPr>
      </w:pPr>
      <w:r>
        <w:rPr>
          <w:rFonts w:hint="eastAsia" w:ascii="仿宋_GB2312" w:eastAsia="仿宋_GB2312"/>
          <w:sz w:val="28"/>
          <w:szCs w:val="28"/>
        </w:rPr>
        <w:t>（6）社会保障和就业支出（类）行政事业单位养老支出（款）机关事业单位职业年金缴费支出（项2080506）：</w:t>
      </w:r>
      <w:r>
        <w:rPr>
          <w:rFonts w:hint="eastAsia" w:ascii="仿宋_GB2312" w:hAnsi="仿宋_GB2312" w:eastAsia="仿宋_GB2312" w:cs="仿宋_GB2312"/>
          <w:color w:val="333333"/>
          <w:sz w:val="28"/>
          <w:szCs w:val="28"/>
        </w:rPr>
        <w:t>反映机关事业单位实施养老保险制度由单位缴纳的职业年金支出。</w:t>
      </w:r>
    </w:p>
    <w:p w14:paraId="7C464820">
      <w:pPr>
        <w:spacing w:line="560" w:lineRule="exact"/>
        <w:ind w:firstLine="560" w:firstLineChars="200"/>
        <w:rPr>
          <w:rFonts w:ascii="仿宋_GB2312" w:hAnsi="仿宋_GB2312" w:eastAsia="仿宋_GB2312" w:cs="仿宋_GB2312"/>
          <w:color w:val="333333"/>
          <w:sz w:val="28"/>
          <w:szCs w:val="28"/>
        </w:rPr>
      </w:pPr>
      <w:r>
        <w:rPr>
          <w:rFonts w:hint="eastAsia" w:ascii="仿宋_GB2312" w:eastAsia="仿宋_GB2312"/>
          <w:sz w:val="28"/>
          <w:szCs w:val="28"/>
        </w:rPr>
        <w:t>（7）卫生健康支出（类）行政事业单位医疗（款）事业单位医疗（项2101102）：</w:t>
      </w:r>
      <w:r>
        <w:rPr>
          <w:rFonts w:hint="eastAsia" w:ascii="仿宋_GB2312" w:hAnsi="仿宋_GB2312" w:eastAsia="仿宋_GB2312" w:cs="仿宋_GB2312"/>
          <w:color w:val="333333"/>
          <w:sz w:val="28"/>
          <w:szCs w:val="28"/>
        </w:rPr>
        <w:t>反映机关事业单位实施医疗保险制度由单位缴纳的医疗保险支出。</w:t>
      </w:r>
    </w:p>
    <w:p w14:paraId="2E3ED7B7">
      <w:pPr>
        <w:rPr>
          <w:rFonts w:ascii="仿宋_GB2312" w:eastAsia="仿宋_GB2312"/>
          <w:sz w:val="28"/>
          <w:szCs w:val="28"/>
        </w:rPr>
      </w:pPr>
    </w:p>
    <w:p w14:paraId="1F7768F8">
      <w:pPr>
        <w:ind w:firstLine="632" w:firstLineChars="200"/>
        <w:rPr>
          <w:rFonts w:ascii="仿宋_GB2312" w:eastAsia="仿宋_GB2312"/>
          <w:b/>
          <w:color w:val="000000"/>
          <w:spacing w:val="-2"/>
          <w:sz w:val="32"/>
          <w:szCs w:val="32"/>
        </w:rPr>
      </w:pPr>
    </w:p>
    <w:p w14:paraId="5E849D49">
      <w:pPr>
        <w:ind w:firstLine="640" w:firstLineChars="200"/>
        <w:jc w:val="center"/>
        <w:rPr>
          <w:rFonts w:ascii="黑体" w:eastAsia="黑体"/>
          <w:sz w:val="32"/>
          <w:szCs w:val="32"/>
        </w:rPr>
      </w:pPr>
    </w:p>
    <w:p w14:paraId="160E0D7A">
      <w:pPr>
        <w:ind w:firstLine="640" w:firstLineChars="200"/>
        <w:jc w:val="center"/>
        <w:rPr>
          <w:rFonts w:ascii="黑体" w:eastAsia="黑体"/>
          <w:sz w:val="32"/>
          <w:szCs w:val="32"/>
        </w:rPr>
      </w:pPr>
    </w:p>
    <w:p w14:paraId="71344C34">
      <w:pPr>
        <w:ind w:firstLine="640" w:firstLineChars="200"/>
        <w:jc w:val="center"/>
        <w:rPr>
          <w:rFonts w:ascii="黑体" w:eastAsia="黑体"/>
          <w:sz w:val="32"/>
          <w:szCs w:val="32"/>
        </w:rPr>
      </w:pPr>
    </w:p>
    <w:p w14:paraId="59D0379B">
      <w:pPr>
        <w:ind w:firstLine="640" w:firstLineChars="200"/>
        <w:jc w:val="center"/>
        <w:rPr>
          <w:rFonts w:ascii="黑体" w:eastAsia="黑体"/>
          <w:sz w:val="32"/>
          <w:szCs w:val="32"/>
        </w:rPr>
      </w:pPr>
    </w:p>
    <w:p w14:paraId="7FAABF73">
      <w:pPr>
        <w:ind w:firstLine="640" w:firstLineChars="200"/>
        <w:jc w:val="center"/>
        <w:rPr>
          <w:rFonts w:ascii="黑体" w:eastAsia="黑体"/>
          <w:sz w:val="32"/>
          <w:szCs w:val="32"/>
        </w:rPr>
      </w:pPr>
    </w:p>
    <w:p w14:paraId="23382E69">
      <w:pPr>
        <w:ind w:firstLine="640" w:firstLineChars="200"/>
        <w:jc w:val="center"/>
        <w:rPr>
          <w:rFonts w:ascii="黑体" w:eastAsia="黑体"/>
          <w:sz w:val="32"/>
          <w:szCs w:val="32"/>
        </w:rPr>
      </w:pPr>
    </w:p>
    <w:p w14:paraId="71F7B383">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7FCA9068">
      <w:pPr>
        <w:ind w:firstLine="560" w:firstLineChars="200"/>
        <w:rPr>
          <w:rFonts w:ascii="黑体" w:eastAsia="黑体"/>
          <w:sz w:val="28"/>
          <w:szCs w:val="28"/>
          <w:highlight w:val="yellow"/>
        </w:rPr>
      </w:pPr>
    </w:p>
    <w:p w14:paraId="303A22C5">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552F5331">
      <w:pPr>
        <w:ind w:firstLine="560" w:firstLineChars="200"/>
        <w:rPr>
          <w:rFonts w:ascii="黑体" w:eastAsia="黑体"/>
          <w:sz w:val="28"/>
          <w:szCs w:val="28"/>
        </w:rPr>
      </w:pPr>
    </w:p>
    <w:p w14:paraId="5C719F57"/>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AB69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265491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E44F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14:paraId="7976172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0B0A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2A8784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iMTE1NDFlZGIwMTcyZjg1YjkxMmFiMjYwZTYxMm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B58AF"/>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429F"/>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7FF2"/>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C72CFE"/>
    <w:rsid w:val="06052FE6"/>
    <w:rsid w:val="079004AC"/>
    <w:rsid w:val="0D0A4CAC"/>
    <w:rsid w:val="0E110D22"/>
    <w:rsid w:val="0F5C1B99"/>
    <w:rsid w:val="0F8E2C57"/>
    <w:rsid w:val="1059665E"/>
    <w:rsid w:val="10AC13BA"/>
    <w:rsid w:val="144C07BE"/>
    <w:rsid w:val="16D02596"/>
    <w:rsid w:val="19B20F21"/>
    <w:rsid w:val="1AEC0734"/>
    <w:rsid w:val="1AF863B7"/>
    <w:rsid w:val="1DEF20B0"/>
    <w:rsid w:val="214243FA"/>
    <w:rsid w:val="217C49D7"/>
    <w:rsid w:val="21D342CD"/>
    <w:rsid w:val="257A14F5"/>
    <w:rsid w:val="25DE6EB0"/>
    <w:rsid w:val="27196C26"/>
    <w:rsid w:val="29EF086F"/>
    <w:rsid w:val="2E47051C"/>
    <w:rsid w:val="2EFFE297"/>
    <w:rsid w:val="2F7C0D89"/>
    <w:rsid w:val="2FDE299B"/>
    <w:rsid w:val="301437CA"/>
    <w:rsid w:val="35F462EE"/>
    <w:rsid w:val="36007828"/>
    <w:rsid w:val="39037B98"/>
    <w:rsid w:val="3BFA227F"/>
    <w:rsid w:val="3CC6576A"/>
    <w:rsid w:val="40307062"/>
    <w:rsid w:val="42FE6FA4"/>
    <w:rsid w:val="433E495C"/>
    <w:rsid w:val="48615996"/>
    <w:rsid w:val="4AC27CB3"/>
    <w:rsid w:val="4BF72BEF"/>
    <w:rsid w:val="4C192222"/>
    <w:rsid w:val="4EB2633F"/>
    <w:rsid w:val="51DB3C59"/>
    <w:rsid w:val="55762E42"/>
    <w:rsid w:val="57A7B272"/>
    <w:rsid w:val="58470068"/>
    <w:rsid w:val="588B2C30"/>
    <w:rsid w:val="595E57A5"/>
    <w:rsid w:val="5A1720F9"/>
    <w:rsid w:val="5A4A272E"/>
    <w:rsid w:val="5B9C37C2"/>
    <w:rsid w:val="5BA7C654"/>
    <w:rsid w:val="5BC37254"/>
    <w:rsid w:val="64C0607C"/>
    <w:rsid w:val="658F3A1B"/>
    <w:rsid w:val="676F09E1"/>
    <w:rsid w:val="70A40763"/>
    <w:rsid w:val="71F31483"/>
    <w:rsid w:val="78685CB3"/>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r>
                      <a:rPr lang="en-US" altLang="zh-CN">
                        <a:solidFill>
                          <a:schemeClr val="tx1"/>
                        </a:solidFill>
                      </a:rPr>
                      <a:t>93.06%</a:t>
                    </a:r>
                    <a:endParaRPr lang="en-US" altLang="zh-CN">
                      <a:solidFill>
                        <a:schemeClr val="tx1"/>
                      </a:solidFill>
                    </a:endParaRP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r>
                      <a:rPr lang="en-US" altLang="zh-CN">
                        <a:solidFill>
                          <a:schemeClr val="tx1"/>
                        </a:solidFill>
                      </a:rPr>
                      <a:t>6.94</a:t>
                    </a:r>
                    <a:r>
                      <a:rPr lang="en-US">
                        <a:solidFill>
                          <a:schemeClr val="tx1"/>
                        </a:solidFill>
                      </a:rPr>
                      <a:t>%</a:t>
                    </a:r>
                    <a:endParaRPr lang="en-US">
                      <a:solidFill>
                        <a:schemeClr val="tx1"/>
                      </a:solidFill>
                    </a:endParaRP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1812.99</c:v>
                </c:pt>
                <c:pt idx="1">
                  <c:v>135.25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noFill/>
    <a:ln w="9525" cap="flat" cmpd="sng" algn="ctr">
      <a:solidFill>
        <a:schemeClr val="bg2"/>
      </a:solidFill>
      <a:round/>
    </a:ln>
    <a:effectLst/>
  </c:spPr>
  <c:txPr>
    <a:bodyPr/>
    <a:lstStyle/>
    <a:p>
      <a:pPr>
        <a:defRPr lang="zh-CN">
          <a:solidFill>
            <a:schemeClr val="tx1"/>
          </a:solidFill>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支出决算</a:t>
            </a:r>
            <a:endParaRPr lang="zh-CN" altLang="en-US"/>
          </a:p>
        </c:rich>
      </c:tx>
      <c:layout/>
      <c:overlay val="0"/>
      <c:spPr>
        <a:noFill/>
        <a:ln>
          <a:noFill/>
        </a:ln>
        <a:effectLst/>
      </c:spPr>
    </c:title>
    <c:autoTitleDeleted val="0"/>
    <c:plotArea>
      <c:layout/>
      <c:pieChart>
        <c:varyColors val="1"/>
        <c:ser>
          <c:idx val="0"/>
          <c:order val="0"/>
          <c:tx>
            <c:strRef>
              <c:f>Sheet0!$B$1</c:f>
              <c:strCache>
                <c:ptCount val="1"/>
                <c:pt idx="0">
                  <c:v>支出决算</c:v>
                </c:pt>
              </c:strCache>
            </c:strRef>
          </c:tx>
          <c:spPr/>
          <c:explosion val="0"/>
          <c:dPt>
            <c:idx val="0"/>
            <c:bubble3D val="0"/>
            <c:spPr>
              <a:solidFill>
                <a:srgbClr val="4F81BD"/>
              </a:solidFill>
              <a:ln>
                <a:solidFill>
                  <a:schemeClr val="bg1"/>
                </a:solidFill>
              </a:ln>
              <a:effectLst/>
            </c:spPr>
          </c:dPt>
          <c:dPt>
            <c:idx val="1"/>
            <c:bubble3D val="0"/>
            <c:spPr>
              <a:solidFill>
                <a:srgbClr val="C0504D"/>
              </a:solidFill>
              <a:ln>
                <a:solidFill>
                  <a:schemeClr val="bg1"/>
                </a:solidFill>
              </a:ln>
              <a:effectLst/>
            </c:spPr>
          </c:dPt>
          <c:dLbls>
            <c:dLbl>
              <c:idx val="0"/>
              <c:layout/>
              <c:tx>
                <c:rich>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r>
                      <a:rPr lang="en-US" altLang="zh-CN"/>
                      <a:t>72.75%</a:t>
                    </a:r>
                    <a:endParaRPr lang="en-US" altLang="zh-CN"/>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r>
                      <a:rPr lang="en-US" altLang="zh-CN"/>
                      <a:t>27.25%</a:t>
                    </a:r>
                    <a:endParaRPr lang="en-US" altLang="zh-CN"/>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1401.02</c:v>
                </c:pt>
                <c:pt idx="1">
                  <c:v>524.88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3640</Words>
  <Characters>4100</Characters>
  <Lines>29</Lines>
  <Paragraphs>8</Paragraphs>
  <TotalTime>15</TotalTime>
  <ScaleCrop>false</ScaleCrop>
  <LinksUpToDate>false</LinksUpToDate>
  <CharactersWithSpaces>4121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2024-09-02T02:02:00Z</dcterms:created>
  <dc:creator>常程</dc:creator>
  <cp:lastModifiedBy>张雨</cp:lastModifiedBy>
  <cp:lastPrinted>2024-06-12T03:03:00Z</cp:lastPrinted>
  <dcterms:modified xsi:type="dcterms:W3CDTF">2024-09-06T10:49:40Z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36E28CF97C484B92A0F8A69949405B60_13</vt:lpwstr>
  </property>
</Properties>
</file>