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5F5B8">
      <w:pPr>
        <w:jc w:val="center"/>
        <w:rPr>
          <w:rFonts w:hint="eastAsia" w:ascii="仿宋_GB2312" w:eastAsia="仿宋_GB2312"/>
          <w:b/>
          <w:sz w:val="32"/>
          <w:szCs w:val="32"/>
        </w:rPr>
      </w:pPr>
    </w:p>
    <w:p w14:paraId="7C302D7E">
      <w:pPr>
        <w:jc w:val="center"/>
        <w:rPr>
          <w:rFonts w:ascii="黑体" w:eastAsia="黑体"/>
          <w:sz w:val="72"/>
          <w:szCs w:val="72"/>
        </w:rPr>
      </w:pPr>
    </w:p>
    <w:p w14:paraId="2DCCD5DF">
      <w:pPr>
        <w:jc w:val="center"/>
        <w:rPr>
          <w:rFonts w:ascii="黑体" w:eastAsia="黑体"/>
          <w:sz w:val="72"/>
          <w:szCs w:val="72"/>
        </w:rPr>
      </w:pPr>
    </w:p>
    <w:p w14:paraId="2ED57DFE">
      <w:pPr>
        <w:jc w:val="center"/>
        <w:rPr>
          <w:rFonts w:ascii="黑体" w:eastAsia="黑体"/>
          <w:sz w:val="72"/>
          <w:szCs w:val="72"/>
        </w:rPr>
      </w:pPr>
    </w:p>
    <w:p w14:paraId="422A5C3D">
      <w:pPr>
        <w:jc w:val="center"/>
        <w:rPr>
          <w:rFonts w:ascii="黑体" w:eastAsia="黑体"/>
          <w:sz w:val="72"/>
          <w:szCs w:val="72"/>
        </w:rPr>
      </w:pPr>
    </w:p>
    <w:p w14:paraId="448AF4B6">
      <w:pPr>
        <w:jc w:val="center"/>
        <w:rPr>
          <w:rFonts w:ascii="黑体" w:eastAsia="黑体"/>
          <w:sz w:val="72"/>
          <w:szCs w:val="72"/>
        </w:rPr>
      </w:pPr>
      <w:r>
        <w:rPr>
          <w:rFonts w:hint="eastAsia" w:ascii="黑体" w:eastAsia="黑体"/>
          <w:sz w:val="72"/>
          <w:szCs w:val="72"/>
        </w:rPr>
        <w:t>2023年度部门决算公开</w:t>
      </w:r>
    </w:p>
    <w:p w14:paraId="08E656C0">
      <w:pPr>
        <w:pStyle w:val="2"/>
        <w:ind w:firstLine="1440"/>
        <w:rPr>
          <w:rFonts w:ascii="黑体" w:eastAsia="黑体"/>
          <w:sz w:val="72"/>
          <w:szCs w:val="72"/>
        </w:rPr>
      </w:pPr>
    </w:p>
    <w:p w14:paraId="19DA8044">
      <w:pPr>
        <w:jc w:val="center"/>
        <w:rPr>
          <w:rFonts w:ascii="宋体" w:hAnsi="宋体"/>
          <w:sz w:val="36"/>
          <w:szCs w:val="36"/>
        </w:rPr>
      </w:pPr>
      <w:r>
        <w:rPr>
          <w:rFonts w:hint="eastAsia" w:ascii="宋体" w:hAnsi="宋体"/>
          <w:sz w:val="36"/>
          <w:szCs w:val="36"/>
        </w:rPr>
        <w:t>单位名称：北京科技创新研究中心</w:t>
      </w:r>
    </w:p>
    <w:p w14:paraId="230E826B">
      <w:pPr>
        <w:jc w:val="center"/>
        <w:rPr>
          <w:rFonts w:ascii="黑体" w:eastAsia="黑体"/>
          <w:sz w:val="52"/>
          <w:szCs w:val="52"/>
        </w:rPr>
      </w:pPr>
    </w:p>
    <w:p w14:paraId="5534A9A4">
      <w:pPr>
        <w:jc w:val="center"/>
        <w:rPr>
          <w:rFonts w:ascii="黑体" w:eastAsia="黑体"/>
          <w:sz w:val="52"/>
          <w:szCs w:val="52"/>
        </w:rPr>
      </w:pPr>
      <w:bookmarkStart w:id="0" w:name="_GoBack"/>
      <w:bookmarkEnd w:id="0"/>
    </w:p>
    <w:p w14:paraId="1F3F4EEC">
      <w:pPr>
        <w:jc w:val="center"/>
        <w:rPr>
          <w:rFonts w:ascii="黑体" w:eastAsia="黑体"/>
          <w:sz w:val="52"/>
          <w:szCs w:val="52"/>
        </w:rPr>
      </w:pPr>
    </w:p>
    <w:p w14:paraId="70C03A3A">
      <w:pPr>
        <w:spacing w:line="500" w:lineRule="exact"/>
        <w:jc w:val="center"/>
        <w:rPr>
          <w:rFonts w:ascii="宋体" w:hAnsi="宋体" w:cs="宋体"/>
          <w:b/>
          <w:bCs/>
          <w:kern w:val="0"/>
          <w:sz w:val="44"/>
          <w:szCs w:val="36"/>
        </w:rPr>
      </w:pPr>
      <w:r>
        <w:rPr>
          <w:rFonts w:hint="eastAsia" w:ascii="宋体" w:hAnsi="宋体" w:cs="宋体"/>
          <w:b/>
          <w:bCs/>
          <w:kern w:val="0"/>
          <w:sz w:val="44"/>
          <w:szCs w:val="36"/>
        </w:rPr>
        <w:t>目    录</w:t>
      </w:r>
    </w:p>
    <w:p w14:paraId="633F944D">
      <w:pPr>
        <w:spacing w:line="500" w:lineRule="exact"/>
        <w:ind w:firstLine="645"/>
        <w:jc w:val="center"/>
        <w:rPr>
          <w:rFonts w:ascii="宋体" w:hAnsi="宋体" w:cs="宋体"/>
          <w:b/>
          <w:bCs/>
          <w:kern w:val="0"/>
          <w:sz w:val="36"/>
          <w:szCs w:val="36"/>
        </w:rPr>
      </w:pPr>
    </w:p>
    <w:p w14:paraId="484240A6">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2023年度部门决算报表</w:t>
      </w:r>
    </w:p>
    <w:p w14:paraId="01EBDA7F">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1536D8D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6099645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2D27DF4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DDA5D7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14:paraId="7D4DA52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14:paraId="379C766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14:paraId="4476CA4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w:t>
      </w:r>
    </w:p>
    <w:p w14:paraId="173D3D3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7E43541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14:paraId="54A1A09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14:paraId="2B0FA65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14:paraId="2AA017B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14:paraId="78A751A3">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2023年度部门决算说明</w:t>
      </w:r>
    </w:p>
    <w:p w14:paraId="5D6C1E60">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2023年度</w:t>
      </w:r>
      <w:r>
        <w:rPr>
          <w:rFonts w:hint="eastAsia" w:ascii="宋体" w:hAnsi="宋体" w:cs="宋体"/>
          <w:spacing w:val="40"/>
          <w:kern w:val="0"/>
          <w:sz w:val="32"/>
          <w:szCs w:val="32"/>
        </w:rPr>
        <w:t>其他重要事项的情况说明</w:t>
      </w:r>
    </w:p>
    <w:p w14:paraId="6DCD8324">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2023年度部门绩效评价情况</w:t>
      </w:r>
    </w:p>
    <w:p w14:paraId="67E2470B">
      <w:pPr>
        <w:tabs>
          <w:tab w:val="center" w:pos="6979"/>
        </w:tabs>
        <w:spacing w:before="156" w:beforeLines="50" w:after="156" w:afterLines="50"/>
        <w:jc w:val="center"/>
        <w:rPr>
          <w:rFonts w:ascii="宋体" w:hAnsi="宋体" w:cs="宋体"/>
          <w:b/>
          <w:bCs/>
          <w:spacing w:val="40"/>
          <w:kern w:val="0"/>
          <w:sz w:val="32"/>
          <w:szCs w:val="32"/>
        </w:rPr>
      </w:pPr>
    </w:p>
    <w:p w14:paraId="13E3C9F5">
      <w:pPr>
        <w:tabs>
          <w:tab w:val="center" w:pos="6979"/>
        </w:tabs>
        <w:spacing w:before="156" w:beforeLines="50" w:after="156" w:afterLines="50"/>
        <w:jc w:val="center"/>
        <w:rPr>
          <w:rFonts w:ascii="宋体" w:hAnsi="宋体" w:cs="宋体"/>
          <w:b/>
          <w:bCs/>
          <w:spacing w:val="40"/>
          <w:kern w:val="0"/>
          <w:sz w:val="32"/>
          <w:szCs w:val="32"/>
        </w:rPr>
      </w:pPr>
    </w:p>
    <w:p w14:paraId="64A18746">
      <w:pPr>
        <w:tabs>
          <w:tab w:val="center" w:pos="6979"/>
        </w:tabs>
        <w:spacing w:before="156" w:beforeLines="50" w:after="156" w:afterLines="50"/>
        <w:jc w:val="center"/>
        <w:rPr>
          <w:rFonts w:ascii="宋体" w:hAnsi="宋体" w:cs="宋体"/>
          <w:b/>
          <w:bCs/>
          <w:spacing w:val="40"/>
          <w:kern w:val="0"/>
          <w:sz w:val="32"/>
          <w:szCs w:val="32"/>
        </w:rPr>
      </w:pPr>
    </w:p>
    <w:p w14:paraId="0B820CBE">
      <w:pPr>
        <w:tabs>
          <w:tab w:val="center" w:pos="6979"/>
        </w:tabs>
        <w:spacing w:before="156" w:beforeLines="50" w:after="156" w:afterLines="50"/>
        <w:jc w:val="center"/>
        <w:rPr>
          <w:rFonts w:ascii="宋体" w:hAnsi="宋体" w:cs="宋体"/>
          <w:b/>
          <w:bCs/>
          <w:spacing w:val="40"/>
          <w:kern w:val="0"/>
          <w:sz w:val="32"/>
          <w:szCs w:val="32"/>
        </w:rPr>
      </w:pPr>
    </w:p>
    <w:p w14:paraId="49DE4953">
      <w:pPr>
        <w:tabs>
          <w:tab w:val="center" w:pos="6979"/>
        </w:tabs>
        <w:spacing w:before="156" w:beforeLines="50" w:after="156" w:afterLines="50"/>
        <w:jc w:val="center"/>
        <w:rPr>
          <w:rFonts w:ascii="宋体" w:hAnsi="宋体" w:cs="宋体"/>
          <w:b/>
          <w:bCs/>
          <w:spacing w:val="40"/>
          <w:kern w:val="0"/>
          <w:sz w:val="32"/>
          <w:szCs w:val="32"/>
        </w:rPr>
      </w:pPr>
    </w:p>
    <w:p w14:paraId="0E8FCF49">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2023年度部门决算报表</w:t>
      </w:r>
    </w:p>
    <w:p w14:paraId="5760CC4C">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5ED40C4F">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2023年度部门决算说明</w:t>
      </w:r>
    </w:p>
    <w:p w14:paraId="711F81C5">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30258B11">
      <w:pPr>
        <w:spacing w:line="560" w:lineRule="exact"/>
        <w:ind w:firstLine="560" w:firstLineChars="200"/>
        <w:rPr>
          <w:rFonts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14:paraId="6DA58CC3">
      <w:pPr>
        <w:spacing w:line="560" w:lineRule="exact"/>
        <w:ind w:firstLine="560" w:firstLineChars="200"/>
        <w:rPr>
          <w:sz w:val="28"/>
          <w:szCs w:val="28"/>
        </w:rPr>
      </w:pPr>
      <w:r>
        <w:rPr>
          <w:rFonts w:hint="eastAsia" w:ascii="仿宋_GB2312" w:hAnsi="仿宋" w:eastAsia="仿宋_GB2312"/>
          <w:sz w:val="28"/>
          <w:szCs w:val="28"/>
        </w:rPr>
        <w:t>北京科技创新研究中心根据《中共北京市委机构编制委员会办公室关于同意调整市科委所属部分事业单位的函》（京编办事〔2019〕144号）设立，是北京市科学技术委员会、中关村科技园区管理委员会所属正处级公益一类事业单位。根据中共北京市委机构编制委员会《关于市科委、中关村管委会所属事业单位改革有关事项的批复》（京编委〔2021〕66号）同意保留北京科技创新研究中心。主要职责为：承担国际科技创新中心、中关村国家自主创新示范区的战略、规划、政策研究工作，科技统计分析和指标监测工作，“三城一区”联系服务等工作。</w:t>
      </w:r>
    </w:p>
    <w:p w14:paraId="69C79C38">
      <w:pPr>
        <w:spacing w:line="560" w:lineRule="exact"/>
        <w:ind w:firstLine="555"/>
        <w:rPr>
          <w:rFonts w:ascii="仿宋_GB2312" w:eastAsia="仿宋_GB2312"/>
          <w:sz w:val="28"/>
          <w:szCs w:val="28"/>
        </w:rPr>
      </w:pPr>
      <w:r>
        <w:rPr>
          <w:rFonts w:hint="eastAsia" w:ascii="仿宋_GB2312" w:hAnsi="仿宋" w:eastAsia="仿宋_GB2312"/>
          <w:sz w:val="28"/>
          <w:szCs w:val="28"/>
        </w:rPr>
        <w:t>内设</w:t>
      </w:r>
      <w:r>
        <w:rPr>
          <w:rFonts w:ascii="仿宋_GB2312" w:hAnsi="仿宋" w:eastAsia="仿宋_GB2312"/>
          <w:sz w:val="28"/>
          <w:szCs w:val="28"/>
        </w:rPr>
        <w:t>7</w:t>
      </w:r>
      <w:r>
        <w:rPr>
          <w:rFonts w:hint="eastAsia" w:ascii="仿宋_GB2312" w:hAnsi="仿宋" w:eastAsia="仿宋_GB2312"/>
          <w:sz w:val="28"/>
          <w:szCs w:val="28"/>
        </w:rPr>
        <w:t>个部门，分别为：综合</w:t>
      </w:r>
      <w:r>
        <w:rPr>
          <w:rFonts w:ascii="仿宋_GB2312" w:hAnsi="仿宋" w:eastAsia="仿宋_GB2312"/>
          <w:sz w:val="28"/>
          <w:szCs w:val="28"/>
        </w:rPr>
        <w:t>管理部</w:t>
      </w:r>
      <w:r>
        <w:rPr>
          <w:rFonts w:hint="eastAsia" w:ascii="仿宋_GB2312" w:hAnsi="仿宋" w:eastAsia="仿宋_GB2312"/>
          <w:sz w:val="28"/>
          <w:szCs w:val="28"/>
        </w:rPr>
        <w:t>、发展研究</w:t>
      </w:r>
      <w:r>
        <w:rPr>
          <w:rFonts w:ascii="仿宋_GB2312" w:hAnsi="仿宋" w:eastAsia="仿宋_GB2312"/>
          <w:sz w:val="28"/>
          <w:szCs w:val="28"/>
        </w:rPr>
        <w:t>部、</w:t>
      </w:r>
      <w:r>
        <w:rPr>
          <w:rFonts w:hint="eastAsia" w:ascii="仿宋_GB2312" w:hAnsi="仿宋" w:eastAsia="仿宋_GB2312"/>
          <w:sz w:val="28"/>
          <w:szCs w:val="28"/>
        </w:rPr>
        <w:t>政策研究</w:t>
      </w:r>
      <w:r>
        <w:rPr>
          <w:rFonts w:ascii="仿宋_GB2312" w:hAnsi="仿宋" w:eastAsia="仿宋_GB2312"/>
          <w:sz w:val="28"/>
          <w:szCs w:val="28"/>
        </w:rPr>
        <w:t>部、</w:t>
      </w:r>
      <w:r>
        <w:rPr>
          <w:rFonts w:hint="eastAsia" w:ascii="仿宋_GB2312" w:hAnsi="仿宋" w:eastAsia="仿宋_GB2312"/>
          <w:sz w:val="28"/>
          <w:szCs w:val="28"/>
        </w:rPr>
        <w:t>决策研究</w:t>
      </w:r>
      <w:r>
        <w:rPr>
          <w:rFonts w:ascii="仿宋_GB2312" w:hAnsi="仿宋" w:eastAsia="仿宋_GB2312"/>
          <w:sz w:val="28"/>
          <w:szCs w:val="28"/>
        </w:rPr>
        <w:t>部、</w:t>
      </w:r>
      <w:r>
        <w:rPr>
          <w:rFonts w:hint="eastAsia" w:ascii="仿宋_GB2312" w:hAnsi="仿宋" w:eastAsia="仿宋_GB2312"/>
          <w:sz w:val="28"/>
          <w:szCs w:val="28"/>
        </w:rPr>
        <w:t>统计分析</w:t>
      </w:r>
      <w:r>
        <w:rPr>
          <w:rFonts w:ascii="仿宋_GB2312" w:hAnsi="仿宋" w:eastAsia="仿宋_GB2312"/>
          <w:sz w:val="28"/>
          <w:szCs w:val="28"/>
        </w:rPr>
        <w:t>部、</w:t>
      </w:r>
      <w:r>
        <w:rPr>
          <w:rFonts w:hint="eastAsia" w:ascii="仿宋_GB2312" w:hAnsi="仿宋" w:eastAsia="仿宋_GB2312"/>
          <w:sz w:val="28"/>
          <w:szCs w:val="28"/>
        </w:rPr>
        <w:t>创新评价部和协调联络</w:t>
      </w:r>
      <w:r>
        <w:rPr>
          <w:rFonts w:ascii="仿宋_GB2312" w:hAnsi="仿宋" w:eastAsia="仿宋_GB2312"/>
          <w:sz w:val="28"/>
          <w:szCs w:val="28"/>
        </w:rPr>
        <w:t>部</w:t>
      </w:r>
      <w:r>
        <w:rPr>
          <w:rFonts w:hint="eastAsia" w:ascii="仿宋_GB2312" w:hAnsi="仿宋" w:eastAsia="仿宋_GB2312"/>
          <w:sz w:val="28"/>
          <w:szCs w:val="28"/>
        </w:rPr>
        <w:t>。</w:t>
      </w:r>
    </w:p>
    <w:p w14:paraId="56725E75">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14:paraId="225EAB24">
      <w:pPr>
        <w:spacing w:line="560" w:lineRule="exact"/>
        <w:ind w:firstLine="560" w:firstLineChars="200"/>
        <w:rPr>
          <w:rFonts w:ascii="仿宋_GB2312" w:eastAsia="仿宋_GB2312"/>
          <w:kern w:val="0"/>
          <w:sz w:val="28"/>
          <w:szCs w:val="28"/>
        </w:rPr>
      </w:pPr>
      <w:r>
        <w:rPr>
          <w:rFonts w:hint="eastAsia" w:ascii="仿宋_GB2312" w:hAnsi="仿宋" w:eastAsia="仿宋_GB2312"/>
          <w:sz w:val="28"/>
          <w:szCs w:val="28"/>
        </w:rPr>
        <w:t>行政编制0人，实有人数0人；</w:t>
      </w:r>
      <w:r>
        <w:rPr>
          <w:rFonts w:hint="eastAsia" w:ascii="仿宋_GB2312" w:eastAsia="仿宋_GB2312"/>
          <w:color w:val="000000"/>
          <w:sz w:val="28"/>
          <w:szCs w:val="28"/>
        </w:rPr>
        <w:t>事业编制51人，实有人数43人。</w:t>
      </w:r>
    </w:p>
    <w:p w14:paraId="32FB40CD">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1122A8FA">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2023年度收、</w:t>
      </w:r>
      <w:r>
        <w:rPr>
          <w:rFonts w:ascii="仿宋_GB2312" w:eastAsia="仿宋_GB2312"/>
          <w:sz w:val="28"/>
          <w:szCs w:val="28"/>
        </w:rPr>
        <w:t>支</w:t>
      </w:r>
      <w:r>
        <w:rPr>
          <w:rFonts w:hint="eastAsia" w:ascii="仿宋_GB2312" w:eastAsia="仿宋_GB2312"/>
          <w:sz w:val="28"/>
          <w:szCs w:val="28"/>
        </w:rPr>
        <w:t>总计2210.58万元，</w:t>
      </w:r>
      <w:r>
        <w:rPr>
          <w:rFonts w:ascii="仿宋_GB2312" w:eastAsia="仿宋_GB2312"/>
          <w:sz w:val="28"/>
          <w:szCs w:val="28"/>
        </w:rPr>
        <w:t>比上年</w:t>
      </w:r>
      <w:r>
        <w:rPr>
          <w:rFonts w:hint="eastAsia" w:ascii="仿宋_GB2312" w:eastAsia="仿宋_GB2312"/>
          <w:sz w:val="28"/>
          <w:szCs w:val="28"/>
        </w:rPr>
        <w:t>减少36.71万元，下降1.63%。</w:t>
      </w:r>
    </w:p>
    <w:p w14:paraId="716FEDC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7CF36985">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2023年度本年收入合计</w:t>
      </w:r>
      <w:r>
        <w:rPr>
          <w:rFonts w:ascii="仿宋_GB2312" w:eastAsia="仿宋_GB2312"/>
          <w:sz w:val="28"/>
          <w:szCs w:val="28"/>
        </w:rPr>
        <w:t>2081.92</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ascii="仿宋_GB2312" w:eastAsia="仿宋_GB2312"/>
          <w:sz w:val="28"/>
          <w:szCs w:val="28"/>
        </w:rPr>
        <w:t>165.27</w:t>
      </w:r>
      <w:r>
        <w:rPr>
          <w:rFonts w:hint="eastAsia" w:ascii="仿宋_GB2312" w:eastAsia="仿宋_GB2312"/>
          <w:sz w:val="28"/>
          <w:szCs w:val="28"/>
        </w:rPr>
        <w:t>万元，下降</w:t>
      </w:r>
      <w:r>
        <w:rPr>
          <w:rFonts w:ascii="仿宋_GB2312" w:eastAsia="仿宋_GB2312"/>
          <w:sz w:val="28"/>
          <w:szCs w:val="28"/>
        </w:rPr>
        <w:t>7.35</w:t>
      </w:r>
      <w:r>
        <w:rPr>
          <w:rFonts w:hint="eastAsia" w:ascii="仿宋_GB2312" w:eastAsia="仿宋_GB2312"/>
          <w:sz w:val="28"/>
          <w:szCs w:val="28"/>
        </w:rPr>
        <w:t>%。</w:t>
      </w:r>
    </w:p>
    <w:p w14:paraId="7C74C0EF">
      <w:pPr>
        <w:tabs>
          <w:tab w:val="center" w:pos="6979"/>
        </w:tabs>
        <w:spacing w:line="560" w:lineRule="exact"/>
        <w:ind w:firstLine="560" w:firstLineChars="200"/>
      </w:pPr>
      <w:r>
        <w:rPr>
          <w:rFonts w:hint="eastAsia" w:ascii="仿宋_GB2312" w:eastAsia="仿宋_GB2312"/>
          <w:sz w:val="28"/>
          <w:szCs w:val="28"/>
        </w:rPr>
        <w:t>1.财政拨款收入</w:t>
      </w:r>
      <w:r>
        <w:rPr>
          <w:rFonts w:ascii="仿宋_GB2312" w:eastAsia="仿宋_GB2312"/>
          <w:sz w:val="28"/>
          <w:szCs w:val="28"/>
        </w:rPr>
        <w:t>2081.92</w:t>
      </w:r>
      <w:r>
        <w:rPr>
          <w:rFonts w:hint="eastAsia" w:ascii="仿宋_GB2312" w:eastAsia="仿宋_GB2312"/>
          <w:sz w:val="28"/>
          <w:szCs w:val="28"/>
        </w:rPr>
        <w:t>万元，占收入合计的</w:t>
      </w:r>
      <w:r>
        <w:rPr>
          <w:rFonts w:ascii="仿宋_GB2312" w:eastAsia="仿宋_GB2312"/>
          <w:sz w:val="28"/>
          <w:szCs w:val="28"/>
        </w:rPr>
        <w:t>100</w:t>
      </w:r>
      <w:r>
        <w:rPr>
          <w:rFonts w:hint="eastAsia" w:ascii="仿宋_GB2312" w:eastAsia="仿宋_GB2312"/>
          <w:sz w:val="28"/>
          <w:szCs w:val="28"/>
        </w:rPr>
        <w:t>%。其中：一般公共预算财政拨款收入</w:t>
      </w:r>
      <w:r>
        <w:rPr>
          <w:rFonts w:ascii="仿宋_GB2312" w:eastAsia="仿宋_GB2312"/>
          <w:sz w:val="28"/>
          <w:szCs w:val="28"/>
        </w:rPr>
        <w:t>2081.92</w:t>
      </w:r>
      <w:r>
        <w:rPr>
          <w:rFonts w:hint="eastAsia" w:ascii="仿宋_GB2312" w:eastAsia="仿宋_GB2312"/>
          <w:sz w:val="28"/>
          <w:szCs w:val="28"/>
        </w:rPr>
        <w:t>万元，占收入合计的</w:t>
      </w:r>
      <w:r>
        <w:rPr>
          <w:rFonts w:ascii="仿宋_GB2312" w:eastAsia="仿宋_GB2312"/>
          <w:sz w:val="28"/>
          <w:szCs w:val="28"/>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2A20F8DA">
      <w:pPr>
        <w:tabs>
          <w:tab w:val="center" w:pos="6979"/>
        </w:tabs>
        <w:spacing w:line="56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5A922C53">
      <w:pPr>
        <w:tabs>
          <w:tab w:val="center" w:pos="6979"/>
        </w:tabs>
        <w:spacing w:line="56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686570C9">
      <w:pPr>
        <w:tabs>
          <w:tab w:val="center" w:pos="6979"/>
        </w:tabs>
        <w:spacing w:line="56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674E9EDA">
      <w:pPr>
        <w:tabs>
          <w:tab w:val="center" w:pos="6979"/>
        </w:tabs>
        <w:spacing w:line="56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6C0EEE09">
      <w:pPr>
        <w:tabs>
          <w:tab w:val="center" w:pos="6979"/>
        </w:tabs>
        <w:spacing w:line="56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47695C9B">
      <w:pPr>
        <w:pStyle w:val="3"/>
        <w:jc w:val="center"/>
      </w:pPr>
      <w:r>
        <w:rPr>
          <w:rFonts w:hint="eastAsia" w:ascii="仿宋_GB2312" w:eastAsia="仿宋_GB2312"/>
          <w:color w:val="000000"/>
          <w:sz w:val="32"/>
        </w:rPr>
        <w:t>图1：收入决算</w:t>
      </w:r>
    </w:p>
    <w:p w14:paraId="229AA6BA">
      <w:pPr>
        <w:jc w:val="center"/>
      </w:pPr>
      <w:r>
        <w:rPr>
          <w:rFonts w:hint="eastAsia"/>
        </w:rPr>
        <w:drawing>
          <wp:inline distT="0" distB="0" distL="114300" distR="114300">
            <wp:extent cx="4408805" cy="2477770"/>
            <wp:effectExtent l="4445" t="5080" r="6350" b="1270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8FBED4C">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A20032F">
      <w:pPr>
        <w:tabs>
          <w:tab w:val="center" w:pos="6979"/>
        </w:tabs>
        <w:spacing w:line="560" w:lineRule="exact"/>
        <w:ind w:firstLine="573"/>
        <w:rPr>
          <w:rFonts w:ascii="仿宋_GB2312" w:eastAsia="仿宋_GB2312"/>
          <w:sz w:val="28"/>
          <w:szCs w:val="28"/>
        </w:rPr>
      </w:pPr>
      <w:r>
        <w:rPr>
          <w:rFonts w:hint="eastAsia" w:ascii="仿宋_GB2312" w:eastAsia="仿宋_GB2312"/>
          <w:sz w:val="28"/>
          <w:szCs w:val="28"/>
        </w:rPr>
        <w:t>2023年度本年支出合计</w:t>
      </w:r>
      <w:r>
        <w:rPr>
          <w:rFonts w:ascii="仿宋_GB2312" w:eastAsia="仿宋_GB2312"/>
          <w:sz w:val="28"/>
          <w:szCs w:val="28"/>
        </w:rPr>
        <w:t>2002.44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211.72万元，增长11.82%，其中：基本支出</w:t>
      </w:r>
      <w:r>
        <w:rPr>
          <w:rFonts w:ascii="仿宋_GB2312" w:eastAsia="仿宋_GB2312"/>
          <w:sz w:val="28"/>
          <w:szCs w:val="28"/>
        </w:rPr>
        <w:t>1770.13</w:t>
      </w:r>
      <w:r>
        <w:rPr>
          <w:rFonts w:hint="eastAsia" w:ascii="仿宋_GB2312" w:eastAsia="仿宋_GB2312"/>
          <w:sz w:val="28"/>
          <w:szCs w:val="28"/>
        </w:rPr>
        <w:t>万元，占支出合计的</w:t>
      </w:r>
      <w:r>
        <w:rPr>
          <w:rFonts w:ascii="仿宋_GB2312" w:eastAsia="仿宋_GB2312"/>
          <w:sz w:val="28"/>
          <w:szCs w:val="28"/>
        </w:rPr>
        <w:t>88.</w:t>
      </w:r>
      <w:r>
        <w:rPr>
          <w:rFonts w:hint="eastAsia" w:ascii="仿宋_GB2312" w:eastAsia="仿宋_GB2312"/>
          <w:sz w:val="28"/>
          <w:szCs w:val="28"/>
        </w:rPr>
        <w:t>40%；项目支出</w:t>
      </w:r>
      <w:r>
        <w:rPr>
          <w:rFonts w:ascii="仿宋_GB2312" w:eastAsia="仿宋_GB2312"/>
          <w:sz w:val="28"/>
          <w:szCs w:val="28"/>
        </w:rPr>
        <w:t>232.31</w:t>
      </w:r>
      <w:r>
        <w:rPr>
          <w:rFonts w:hint="eastAsia" w:ascii="仿宋_GB2312" w:eastAsia="仿宋_GB2312"/>
          <w:sz w:val="28"/>
          <w:szCs w:val="28"/>
        </w:rPr>
        <w:t>万元，占支出合计的</w:t>
      </w:r>
      <w:r>
        <w:rPr>
          <w:rFonts w:ascii="仿宋_GB2312" w:eastAsia="仿宋_GB2312"/>
          <w:sz w:val="28"/>
          <w:szCs w:val="28"/>
        </w:rPr>
        <w:t>11.6</w:t>
      </w:r>
      <w:r>
        <w:rPr>
          <w:rFonts w:hint="eastAsia" w:ascii="仿宋_GB2312" w:eastAsia="仿宋_GB2312"/>
          <w:sz w:val="28"/>
          <w:szCs w:val="28"/>
        </w:rPr>
        <w:t>0%;上缴上级支出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14:paraId="29F097B8">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2019088E">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54EDB8">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6FFB040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2023年度财政拨款收、</w:t>
      </w:r>
      <w:r>
        <w:rPr>
          <w:rFonts w:ascii="仿宋_GB2312" w:eastAsia="仿宋_GB2312"/>
          <w:sz w:val="28"/>
          <w:szCs w:val="28"/>
        </w:rPr>
        <w:t>支</w:t>
      </w:r>
      <w:r>
        <w:rPr>
          <w:rFonts w:hint="eastAsia" w:ascii="仿宋_GB2312" w:eastAsia="仿宋_GB2312"/>
          <w:sz w:val="28"/>
          <w:szCs w:val="28"/>
        </w:rPr>
        <w:t>总计2210.58万元，比上年减少36.71万元，下降1.63%。与上年基本持平。</w:t>
      </w:r>
    </w:p>
    <w:p w14:paraId="11F47314">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2ED82EDF">
      <w:pPr>
        <w:autoSpaceDE w:val="0"/>
        <w:autoSpaceDN w:val="0"/>
        <w:adjustRightInd w:val="0"/>
        <w:spacing w:line="560" w:lineRule="atLeas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61A35B0B">
      <w:pPr>
        <w:tabs>
          <w:tab w:val="center" w:pos="6979"/>
        </w:tabs>
        <w:spacing w:line="560" w:lineRule="atLeast"/>
        <w:ind w:firstLine="560" w:firstLineChars="200"/>
        <w:rPr>
          <w:rFonts w:ascii="仿宋_GB2312" w:eastAsia="仿宋_GB2312"/>
          <w:sz w:val="28"/>
          <w:szCs w:val="28"/>
        </w:rPr>
      </w:pPr>
      <w:r>
        <w:rPr>
          <w:rFonts w:hint="eastAsia" w:ascii="仿宋_GB2312" w:eastAsia="仿宋_GB2312"/>
          <w:sz w:val="28"/>
          <w:szCs w:val="28"/>
        </w:rPr>
        <w:t>2023年度一般公共预算财政拨款支出</w:t>
      </w:r>
      <w:r>
        <w:rPr>
          <w:rFonts w:ascii="仿宋_GB2312" w:eastAsia="仿宋_GB2312"/>
          <w:sz w:val="28"/>
          <w:szCs w:val="28"/>
        </w:rPr>
        <w:t>2002.44</w:t>
      </w:r>
      <w:r>
        <w:rPr>
          <w:rFonts w:hint="eastAsia" w:ascii="仿宋_GB2312" w:eastAsia="仿宋_GB2312"/>
          <w:sz w:val="28"/>
          <w:szCs w:val="28"/>
        </w:rPr>
        <w:t>万元，主要用于以下方面（按大类）：科学技术支出1718.46万元，占本年财政拨款支出85.82%，社会保障和就业支出181.15万元，占本年财政拨款支出9.05%,卫生健康支出99.01万元，占本年财政拨款支出4.94%,教育支出3.82万元，占本年财政拨款支出0.19%。</w:t>
      </w:r>
    </w:p>
    <w:p w14:paraId="4CF16AC5">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11158F78">
      <w:pPr>
        <w:tabs>
          <w:tab w:val="center" w:pos="6979"/>
        </w:tabs>
        <w:spacing w:line="560" w:lineRule="atLeast"/>
        <w:ind w:firstLine="560" w:firstLineChars="200"/>
        <w:rPr>
          <w:rFonts w:ascii="仿宋_GB2312" w:eastAsia="仿宋_GB2312"/>
          <w:sz w:val="28"/>
          <w:szCs w:val="28"/>
        </w:rPr>
      </w:pPr>
      <w:r>
        <w:rPr>
          <w:rFonts w:hint="eastAsia" w:ascii="仿宋_GB2312" w:eastAsia="仿宋_GB2312"/>
          <w:sz w:val="28"/>
          <w:szCs w:val="28"/>
        </w:rPr>
        <w:t>1、“科学技术支出”（类）2023年度决算1718.46万元，比2023年度年初预算减少168.72万元，下降8.94%。其中：</w:t>
      </w:r>
    </w:p>
    <w:p w14:paraId="0B43C0B0">
      <w:pPr>
        <w:spacing w:line="560" w:lineRule="atLeast"/>
        <w:ind w:firstLine="560" w:firstLineChars="200"/>
        <w:rPr>
          <w:rFonts w:ascii="仿宋_GB2312" w:eastAsia="仿宋_GB2312"/>
          <w:sz w:val="28"/>
          <w:szCs w:val="28"/>
        </w:rPr>
      </w:pPr>
      <w:r>
        <w:rPr>
          <w:rFonts w:hint="eastAsia" w:ascii="仿宋_GB2312" w:eastAsia="仿宋_GB2312"/>
          <w:sz w:val="28"/>
          <w:szCs w:val="28"/>
        </w:rPr>
        <w:t>“技术研究与开发”（款）2023年度决算1534.07万元，比2023年度年初预算减少94.11万元，下降5.78%。主要原因：根据工作安排，调整国际</w:t>
      </w:r>
      <w:r>
        <w:rPr>
          <w:rFonts w:hint="eastAsia" w:ascii="仿宋_GB2312" w:eastAsia="仿宋_GB2312"/>
          <w:sz w:val="28"/>
          <w:szCs w:val="28"/>
          <w:lang w:eastAsia="zh-CN"/>
        </w:rPr>
        <w:t>科技</w:t>
      </w:r>
      <w:r>
        <w:rPr>
          <w:rFonts w:hint="eastAsia" w:ascii="仿宋_GB2312" w:eastAsia="仿宋_GB2312"/>
          <w:sz w:val="28"/>
          <w:szCs w:val="28"/>
        </w:rPr>
        <w:t>创新中心动态跟踪及规划政策支撑项目经费。</w:t>
      </w:r>
    </w:p>
    <w:p w14:paraId="211CE7CB">
      <w:pPr>
        <w:tabs>
          <w:tab w:val="center" w:pos="6979"/>
        </w:tabs>
        <w:spacing w:line="560" w:lineRule="atLeast"/>
        <w:ind w:firstLine="560" w:firstLineChars="200"/>
        <w:rPr>
          <w:rFonts w:ascii="仿宋_GB2312" w:eastAsia="仿宋_GB2312"/>
          <w:sz w:val="28"/>
          <w:szCs w:val="28"/>
        </w:rPr>
      </w:pPr>
      <w:r>
        <w:rPr>
          <w:rFonts w:hint="eastAsia" w:ascii="仿宋_GB2312" w:eastAsia="仿宋_GB2312"/>
          <w:sz w:val="28"/>
          <w:szCs w:val="28"/>
        </w:rPr>
        <w:t>“科技条件与服务”（款）2023年度决算184.39万元，比2023年初预算减少74.61万元，下降28.81%。主要原因：根据工作安排，调整国际科技创新中心动态跟踪及规划政策支撑项目经费。</w:t>
      </w:r>
    </w:p>
    <w:p w14:paraId="2948B736">
      <w:pPr>
        <w:tabs>
          <w:tab w:val="center" w:pos="6979"/>
        </w:tabs>
        <w:spacing w:line="560" w:lineRule="atLeast"/>
        <w:ind w:firstLine="560" w:firstLineChars="200"/>
        <w:rPr>
          <w:rFonts w:ascii="仿宋_GB2312" w:eastAsia="仿宋_GB2312"/>
          <w:sz w:val="28"/>
          <w:szCs w:val="28"/>
        </w:rPr>
      </w:pPr>
      <w:r>
        <w:rPr>
          <w:rFonts w:hint="eastAsia" w:ascii="仿宋_GB2312" w:eastAsia="仿宋_GB2312"/>
          <w:sz w:val="28"/>
          <w:szCs w:val="28"/>
        </w:rPr>
        <w:t>2、社会保障和就业支出（类）2023年度决算181.14万元，比2023年年初年初预算减少19.11万元，下降9.54%。其中：</w:t>
      </w:r>
    </w:p>
    <w:p w14:paraId="264B12BE">
      <w:pPr>
        <w:tabs>
          <w:tab w:val="center" w:pos="6979"/>
        </w:tabs>
        <w:spacing w:line="560" w:lineRule="atLeast"/>
        <w:ind w:firstLine="560" w:firstLineChars="200"/>
        <w:rPr>
          <w:rFonts w:ascii="仿宋_GB2312" w:eastAsia="仿宋_GB2312"/>
          <w:sz w:val="28"/>
          <w:szCs w:val="28"/>
        </w:rPr>
      </w:pPr>
      <w:r>
        <w:rPr>
          <w:rFonts w:hint="eastAsia" w:ascii="仿宋_GB2312" w:eastAsia="仿宋_GB2312"/>
          <w:sz w:val="28"/>
          <w:szCs w:val="28"/>
        </w:rPr>
        <w:t>“行政事业单位养老支出”（款）2023年度决算</w:t>
      </w:r>
      <w:r>
        <w:rPr>
          <w:rFonts w:ascii="仿宋_GB2312" w:eastAsia="仿宋_GB2312"/>
          <w:sz w:val="28"/>
          <w:szCs w:val="28"/>
        </w:rPr>
        <w:t>181.14</w:t>
      </w:r>
      <w:r>
        <w:rPr>
          <w:rFonts w:hint="eastAsia" w:ascii="仿宋_GB2312" w:eastAsia="仿宋_GB2312"/>
          <w:sz w:val="28"/>
          <w:szCs w:val="28"/>
        </w:rPr>
        <w:t>万元，比2023年年初预算减少</w:t>
      </w:r>
      <w:r>
        <w:rPr>
          <w:rFonts w:ascii="仿宋_GB2312" w:eastAsia="仿宋_GB2312"/>
          <w:sz w:val="28"/>
          <w:szCs w:val="28"/>
        </w:rPr>
        <w:t>19.11</w:t>
      </w:r>
      <w:r>
        <w:rPr>
          <w:rFonts w:hint="eastAsia" w:ascii="仿宋_GB2312" w:eastAsia="仿宋_GB2312"/>
          <w:sz w:val="28"/>
          <w:szCs w:val="28"/>
        </w:rPr>
        <w:t>万元，下降9.54%，主要原因：由于人员变动等因素，减少相关经费支出。</w:t>
      </w:r>
    </w:p>
    <w:p w14:paraId="41C758A1">
      <w:pPr>
        <w:tabs>
          <w:tab w:val="center" w:pos="6979"/>
        </w:tabs>
        <w:spacing w:line="560" w:lineRule="atLeast"/>
        <w:ind w:firstLine="560" w:firstLineChars="200"/>
        <w:rPr>
          <w:rFonts w:ascii="仿宋_GB2312" w:eastAsia="仿宋_GB2312"/>
          <w:sz w:val="28"/>
          <w:szCs w:val="28"/>
        </w:rPr>
      </w:pPr>
      <w:r>
        <w:rPr>
          <w:rFonts w:hint="eastAsia" w:ascii="仿宋_GB2312" w:eastAsia="仿宋_GB2312"/>
          <w:sz w:val="28"/>
          <w:szCs w:val="28"/>
        </w:rPr>
        <w:t>3、“卫生健康支出”（类）2023年度决算99.01万元，比2023年年初预算减少15.35万元,下降13.42%，</w:t>
      </w:r>
    </w:p>
    <w:p w14:paraId="3D082140">
      <w:pPr>
        <w:tabs>
          <w:tab w:val="center" w:pos="6979"/>
        </w:tabs>
        <w:spacing w:line="560" w:lineRule="atLeast"/>
        <w:ind w:firstLine="560" w:firstLineChars="200"/>
        <w:rPr>
          <w:rFonts w:ascii="仿宋_GB2312" w:eastAsia="仿宋_GB2312"/>
          <w:sz w:val="28"/>
          <w:szCs w:val="28"/>
        </w:rPr>
      </w:pPr>
      <w:r>
        <w:rPr>
          <w:rFonts w:hint="eastAsia" w:ascii="仿宋_GB2312" w:eastAsia="仿宋_GB2312"/>
          <w:sz w:val="28"/>
          <w:szCs w:val="28"/>
        </w:rPr>
        <w:t>“行政事业单位医疗”（款）2023年度决算99.01万元，比2023年年初预算减少15.35万元，下降13.42%，主要原因：由于人员变动等因素，减少相关经费支出。</w:t>
      </w:r>
    </w:p>
    <w:p w14:paraId="79BE5784">
      <w:pPr>
        <w:pStyle w:val="2"/>
        <w:spacing w:line="560" w:lineRule="atLeast"/>
        <w:ind w:firstLine="560"/>
        <w:rPr>
          <w:rFonts w:ascii="仿宋_GB2312" w:eastAsia="仿宋_GB2312"/>
          <w:sz w:val="28"/>
          <w:szCs w:val="28"/>
        </w:rPr>
      </w:pPr>
      <w:r>
        <w:rPr>
          <w:rFonts w:hint="eastAsia" w:ascii="仿宋_GB2312" w:eastAsia="仿宋_GB2312"/>
          <w:sz w:val="28"/>
          <w:szCs w:val="28"/>
        </w:rPr>
        <w:t>4、“教育支出”（类）2023年度决算3.82万元，比2023年年初预算减少0.58万元，下降13.18%，</w:t>
      </w:r>
    </w:p>
    <w:p w14:paraId="15908A2B">
      <w:pPr>
        <w:spacing w:line="560" w:lineRule="atLeast"/>
        <w:ind w:firstLine="560" w:firstLineChars="200"/>
        <w:rPr>
          <w:rFonts w:ascii="仿宋_GB2312" w:eastAsia="仿宋_GB2312"/>
          <w:sz w:val="28"/>
          <w:szCs w:val="28"/>
        </w:rPr>
      </w:pPr>
      <w:r>
        <w:rPr>
          <w:rFonts w:hint="eastAsia" w:ascii="仿宋_GB2312" w:eastAsia="仿宋_GB2312"/>
          <w:sz w:val="28"/>
          <w:szCs w:val="28"/>
        </w:rPr>
        <w:t>“进修与培训”（款）2023年度决算3.82万元，比2023年年初预算减少0.58万元，下降13.18%，主要原因：根据工作安排，培训活动调整培训方式，减少培训经费支出。</w:t>
      </w:r>
    </w:p>
    <w:p w14:paraId="54777DDB">
      <w:pPr>
        <w:numPr>
          <w:ilvl w:val="0"/>
          <w:numId w:val="1"/>
        </w:numPr>
        <w:spacing w:line="580" w:lineRule="exact"/>
        <w:ind w:firstLine="560" w:firstLineChars="200"/>
        <w:rPr>
          <w:rFonts w:ascii="黑体" w:eastAsia="黑体"/>
          <w:b/>
          <w:sz w:val="28"/>
          <w:szCs w:val="28"/>
        </w:rPr>
      </w:pPr>
      <w:r>
        <w:rPr>
          <w:rFonts w:hint="eastAsia" w:ascii="黑体" w:eastAsia="黑体"/>
          <w:b/>
          <w:sz w:val="28"/>
          <w:szCs w:val="28"/>
        </w:rPr>
        <w:t>政府性基金预算财政拨款支出决算情况说明</w:t>
      </w:r>
    </w:p>
    <w:p w14:paraId="3D8F6F91">
      <w:pPr>
        <w:tabs>
          <w:tab w:val="center" w:pos="6979"/>
        </w:tabs>
        <w:spacing w:line="560" w:lineRule="exact"/>
        <w:ind w:firstLine="548" w:firstLineChars="196"/>
        <w:rPr>
          <w:rFonts w:ascii="仿宋_GB2312" w:eastAsia="仿宋_GB2312"/>
          <w:sz w:val="28"/>
          <w:szCs w:val="28"/>
        </w:rPr>
      </w:pPr>
      <w:r>
        <w:rPr>
          <w:rFonts w:hint="eastAsia" w:ascii="仿宋_GB2312" w:eastAsia="仿宋_GB2312"/>
          <w:sz w:val="28"/>
          <w:szCs w:val="28"/>
        </w:rPr>
        <w:t>本年度无此项支出。</w:t>
      </w:r>
    </w:p>
    <w:p w14:paraId="3A3953BA">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2FB22F47">
      <w:pPr>
        <w:spacing w:line="580" w:lineRule="exact"/>
        <w:ind w:firstLine="548" w:firstLineChars="196"/>
        <w:rPr>
          <w:rFonts w:ascii="仿宋_GB2312" w:eastAsia="仿宋_GB2312"/>
          <w:sz w:val="28"/>
          <w:szCs w:val="28"/>
        </w:rPr>
      </w:pPr>
      <w:r>
        <w:rPr>
          <w:rFonts w:hint="eastAsia" w:ascii="仿宋_GB2312" w:eastAsia="仿宋_GB2312"/>
          <w:sz w:val="28"/>
          <w:szCs w:val="28"/>
        </w:rPr>
        <w:t>2023年度国有资本经营预算财政拨款收入总计0万元，国有资本经营预算财政拨款支出总计0万元。</w:t>
      </w:r>
    </w:p>
    <w:p w14:paraId="43DDA2B6">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037A9B84">
      <w:pPr>
        <w:tabs>
          <w:tab w:val="center" w:pos="6979"/>
        </w:tabs>
        <w:spacing w:line="560" w:lineRule="exact"/>
        <w:ind w:firstLine="548" w:firstLineChars="196"/>
        <w:rPr>
          <w:rFonts w:ascii="黑体" w:eastAsia="黑体"/>
          <w:b/>
          <w:sz w:val="28"/>
          <w:szCs w:val="28"/>
        </w:rPr>
      </w:pPr>
      <w:r>
        <w:rPr>
          <w:rFonts w:hint="eastAsia" w:ascii="仿宋_GB2312" w:eastAsia="仿宋_GB2312"/>
          <w:sz w:val="28"/>
          <w:szCs w:val="28"/>
        </w:rPr>
        <w:t>2023年度使用一般公共预算财政拨款安排基本支出</w:t>
      </w:r>
      <w:r>
        <w:rPr>
          <w:rFonts w:ascii="仿宋_GB2312" w:eastAsia="仿宋_GB2312"/>
          <w:sz w:val="28"/>
          <w:szCs w:val="28"/>
        </w:rPr>
        <w:t>1770.13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1FD63AFA">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2023年度</w:t>
      </w:r>
      <w:r>
        <w:rPr>
          <w:rFonts w:hint="eastAsia" w:ascii="宋体" w:hAnsi="宋体" w:cs="宋体"/>
          <w:b/>
          <w:spacing w:val="40"/>
          <w:kern w:val="0"/>
          <w:sz w:val="32"/>
          <w:szCs w:val="32"/>
        </w:rPr>
        <w:t>其他重要事项的情况说明</w:t>
      </w:r>
    </w:p>
    <w:p w14:paraId="71C66AEF">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2EA6CACA">
      <w:pPr>
        <w:spacing w:line="560" w:lineRule="exact"/>
        <w:ind w:firstLine="600"/>
        <w:rPr>
          <w:rFonts w:ascii="仿宋_GB2312" w:eastAsia="仿宋_GB2312"/>
          <w:sz w:val="28"/>
          <w:szCs w:val="28"/>
        </w:rPr>
      </w:pPr>
      <w:r>
        <w:rPr>
          <w:rFonts w:hint="eastAsia" w:ascii="仿宋_GB2312" w:eastAsia="仿宋_GB2312"/>
          <w:sz w:val="28"/>
          <w:szCs w:val="28"/>
        </w:rPr>
        <w:t>“三公”经费包括本单位所属</w:t>
      </w:r>
      <w:r>
        <w:rPr>
          <w:rFonts w:hint="eastAsia" w:ascii="仿宋_GB2312" w:eastAsia="仿宋_GB2312"/>
          <w:bCs/>
          <w:sz w:val="28"/>
          <w:szCs w:val="28"/>
        </w:rPr>
        <w:t>1个</w:t>
      </w:r>
      <w:r>
        <w:rPr>
          <w:rFonts w:hint="eastAsia" w:ascii="仿宋_GB2312" w:eastAsia="仿宋_GB2312"/>
          <w:sz w:val="28"/>
          <w:szCs w:val="28"/>
        </w:rPr>
        <w:t>事业单位。2023年度“三公”经费财政拨款决算数</w:t>
      </w:r>
      <w:r>
        <w:rPr>
          <w:rFonts w:ascii="仿宋_GB2312" w:eastAsia="仿宋_GB2312"/>
          <w:sz w:val="28"/>
          <w:szCs w:val="28"/>
        </w:rPr>
        <w:t>0</w:t>
      </w:r>
      <w:r>
        <w:rPr>
          <w:rFonts w:hint="eastAsia" w:ascii="仿宋_GB2312" w:eastAsia="仿宋_GB2312"/>
          <w:sz w:val="28"/>
          <w:szCs w:val="28"/>
        </w:rPr>
        <w:t>.00万元，比2023年度“三公”经费财政拨款年初预算</w:t>
      </w:r>
      <w:r>
        <w:rPr>
          <w:rFonts w:ascii="仿宋_GB2312" w:eastAsia="仿宋_GB2312"/>
          <w:sz w:val="28"/>
          <w:szCs w:val="28"/>
        </w:rPr>
        <w:t>0.3</w:t>
      </w:r>
      <w:r>
        <w:rPr>
          <w:rFonts w:hint="eastAsia" w:ascii="仿宋_GB2312" w:eastAsia="仿宋_GB2312"/>
          <w:sz w:val="28"/>
          <w:szCs w:val="28"/>
        </w:rPr>
        <w:t>0万元减少</w:t>
      </w:r>
      <w:r>
        <w:rPr>
          <w:rFonts w:ascii="仿宋_GB2312" w:eastAsia="仿宋_GB2312"/>
          <w:sz w:val="28"/>
          <w:szCs w:val="28"/>
        </w:rPr>
        <w:t>0.3</w:t>
      </w:r>
      <w:r>
        <w:rPr>
          <w:rFonts w:hint="eastAsia" w:ascii="仿宋_GB2312" w:eastAsia="仿宋_GB2312"/>
          <w:sz w:val="28"/>
          <w:szCs w:val="28"/>
        </w:rPr>
        <w:t>0万元。其中：</w:t>
      </w:r>
    </w:p>
    <w:p w14:paraId="70C72DB7">
      <w:pPr>
        <w:spacing w:line="560" w:lineRule="exact"/>
        <w:ind w:firstLine="560" w:firstLineChars="200"/>
        <w:rPr>
          <w:rFonts w:ascii="仿宋_GB2312" w:eastAsia="仿宋_GB2312"/>
          <w:sz w:val="28"/>
          <w:szCs w:val="28"/>
        </w:rPr>
      </w:pPr>
      <w:r>
        <w:rPr>
          <w:rFonts w:hint="eastAsia" w:ascii="仿宋_GB2312" w:eastAsia="仿宋_GB2312"/>
          <w:sz w:val="28"/>
          <w:szCs w:val="28"/>
        </w:rPr>
        <w:t>1.因公出国（境）费用。本年度无此项支出。</w:t>
      </w:r>
    </w:p>
    <w:p w14:paraId="4ACB7517">
      <w:pPr>
        <w:spacing w:line="560" w:lineRule="exact"/>
        <w:ind w:firstLine="560" w:firstLineChars="200"/>
        <w:rPr>
          <w:rFonts w:ascii="仿宋_GB2312" w:eastAsia="仿宋_GB2312"/>
          <w:sz w:val="28"/>
          <w:szCs w:val="28"/>
        </w:rPr>
      </w:pPr>
      <w:r>
        <w:rPr>
          <w:rFonts w:hint="eastAsia" w:ascii="仿宋_GB2312" w:eastAsia="仿宋_GB2312"/>
          <w:sz w:val="28"/>
          <w:szCs w:val="28"/>
        </w:rPr>
        <w:t>2.公务接待费。2023年度决算数</w:t>
      </w:r>
      <w:r>
        <w:rPr>
          <w:rFonts w:ascii="仿宋_GB2312" w:eastAsia="仿宋_GB2312"/>
          <w:sz w:val="28"/>
          <w:szCs w:val="28"/>
        </w:rPr>
        <w:t>0</w:t>
      </w:r>
      <w:r>
        <w:rPr>
          <w:rFonts w:hint="eastAsia" w:ascii="仿宋_GB2312" w:eastAsia="仿宋_GB2312"/>
          <w:sz w:val="28"/>
          <w:szCs w:val="28"/>
        </w:rPr>
        <w:t>万元，比2023年度年初预算数</w:t>
      </w:r>
      <w:r>
        <w:rPr>
          <w:rFonts w:ascii="仿宋_GB2312" w:eastAsia="仿宋_GB2312"/>
          <w:sz w:val="28"/>
          <w:szCs w:val="28"/>
        </w:rPr>
        <w:t>0.3</w:t>
      </w:r>
      <w:r>
        <w:rPr>
          <w:rFonts w:hint="eastAsia" w:ascii="仿宋_GB2312" w:eastAsia="仿宋_GB2312"/>
          <w:sz w:val="28"/>
          <w:szCs w:val="28"/>
        </w:rPr>
        <w:t>万元减少</w:t>
      </w:r>
      <w:r>
        <w:rPr>
          <w:rFonts w:ascii="仿宋_GB2312" w:eastAsia="仿宋_GB2312"/>
          <w:sz w:val="28"/>
          <w:szCs w:val="28"/>
        </w:rPr>
        <w:t>0</w:t>
      </w:r>
      <w:r>
        <w:rPr>
          <w:rFonts w:hint="eastAsia" w:ascii="仿宋_GB2312" w:eastAsia="仿宋_GB2312"/>
          <w:sz w:val="28"/>
          <w:szCs w:val="28"/>
        </w:rPr>
        <w:t>.30万元。主要原因：落实政府“过紧日子”要求，进一步压减一般性支出。</w:t>
      </w:r>
    </w:p>
    <w:p w14:paraId="088235BB">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3.公务用车购置及运行维护费。本年度无此项支出。</w:t>
      </w:r>
    </w:p>
    <w:p w14:paraId="26A1DD8F">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32271B2C">
      <w:pPr>
        <w:ind w:firstLine="537" w:firstLineChars="192"/>
        <w:rPr>
          <w:rFonts w:ascii="仿宋_GB2312" w:eastAsia="仿宋_GB2312"/>
          <w:sz w:val="28"/>
          <w:szCs w:val="28"/>
        </w:rPr>
      </w:pPr>
      <w:r>
        <w:rPr>
          <w:rFonts w:hint="eastAsia" w:ascii="仿宋_GB2312" w:eastAsia="仿宋_GB2312"/>
          <w:sz w:val="28"/>
          <w:szCs w:val="28"/>
        </w:rPr>
        <w:t>本单位不在机关运行经费统计范围之内。</w:t>
      </w:r>
    </w:p>
    <w:p w14:paraId="623EAAE5">
      <w:pPr>
        <w:ind w:left="540"/>
        <w:rPr>
          <w:rFonts w:ascii="黑体" w:eastAsia="黑体"/>
          <w:sz w:val="28"/>
          <w:szCs w:val="28"/>
        </w:rPr>
      </w:pPr>
      <w:r>
        <w:rPr>
          <w:rFonts w:hint="eastAsia" w:ascii="黑体" w:eastAsia="黑体"/>
          <w:sz w:val="28"/>
          <w:szCs w:val="28"/>
        </w:rPr>
        <w:t>三、政府采购支出情况</w:t>
      </w:r>
    </w:p>
    <w:p w14:paraId="3F1A8409">
      <w:pPr>
        <w:spacing w:line="560" w:lineRule="exact"/>
        <w:ind w:firstLine="601"/>
        <w:rPr>
          <w:rFonts w:ascii="仿宋_GB2312" w:eastAsia="仿宋_GB2312"/>
          <w:sz w:val="28"/>
          <w:szCs w:val="28"/>
        </w:rPr>
      </w:pPr>
      <w:r>
        <w:rPr>
          <w:rFonts w:hint="eastAsia" w:ascii="仿宋_GB2312" w:eastAsia="仿宋_GB2312"/>
          <w:sz w:val="28"/>
          <w:szCs w:val="28"/>
        </w:rPr>
        <w:t>2023年度政府采购支出总额89.32万元，其中：政府采购货物支出2.43万元，政府采购工程支出0万元，政府采购服务支出86.88万元。授予中小企业合同金额31.32万元，占政府采购支出总额的35.06%，其中：授予小微企业合同金额2.21万元，占政府采购支出总额的2.47%。</w:t>
      </w:r>
    </w:p>
    <w:p w14:paraId="20A22EEA">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4768254E">
      <w:pPr>
        <w:ind w:firstLine="537" w:firstLineChars="192"/>
        <w:rPr>
          <w:rFonts w:ascii="仿宋_GB2312" w:eastAsia="仿宋_GB2312"/>
          <w:sz w:val="28"/>
          <w:szCs w:val="28"/>
        </w:rPr>
      </w:pPr>
      <w:r>
        <w:rPr>
          <w:rFonts w:hint="eastAsia" w:ascii="仿宋_GB2312" w:eastAsia="仿宋_GB2312"/>
          <w:sz w:val="28"/>
          <w:szCs w:val="28"/>
        </w:rPr>
        <w:t xml:space="preserve">2023年度新购置车辆0台，共计0万元；新购置单位价值100万元（含）以上的设备0台（套），共计0万元。截至12月31日，研究中心共有车辆0台，共计0万元；单位价值100万元（含）以上的设备0台（套），共计0万元。 </w:t>
      </w:r>
      <w:r>
        <w:rPr>
          <w:rFonts w:ascii="仿宋_GB2312" w:eastAsia="仿宋_GB2312"/>
          <w:sz w:val="28"/>
          <w:szCs w:val="28"/>
        </w:rPr>
        <w:t xml:space="preserve">  </w:t>
      </w:r>
    </w:p>
    <w:p w14:paraId="3166959A">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5C5BE925">
      <w:pPr>
        <w:ind w:firstLine="537" w:firstLineChars="192"/>
        <w:rPr>
          <w:rFonts w:ascii="仿宋_GB2312" w:eastAsia="仿宋_GB2312"/>
          <w:sz w:val="28"/>
          <w:szCs w:val="28"/>
        </w:rPr>
      </w:pPr>
      <w:r>
        <w:rPr>
          <w:rFonts w:hint="eastAsia" w:ascii="仿宋_GB2312" w:eastAsia="仿宋_GB2312"/>
          <w:sz w:val="28"/>
          <w:szCs w:val="28"/>
        </w:rPr>
        <w:t>本单位不属于</w:t>
      </w:r>
      <w:r>
        <w:rPr>
          <w:rFonts w:ascii="仿宋_GB2312" w:eastAsia="仿宋_GB2312"/>
          <w:sz w:val="28"/>
          <w:szCs w:val="28"/>
        </w:rPr>
        <w:t>政府购买服务</w:t>
      </w:r>
      <w:r>
        <w:rPr>
          <w:rFonts w:hint="eastAsia" w:ascii="仿宋_GB2312" w:eastAsia="仿宋_GB2312"/>
          <w:sz w:val="28"/>
          <w:szCs w:val="28"/>
        </w:rPr>
        <w:t>购买主体。</w:t>
      </w:r>
    </w:p>
    <w:p w14:paraId="39B22569">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3A43665E">
      <w:pPr>
        <w:spacing w:line="560" w:lineRule="atLeast"/>
        <w:ind w:firstLine="6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73B6076F">
      <w:pPr>
        <w:spacing w:line="560" w:lineRule="atLeast"/>
        <w:ind w:firstLine="6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36CE106D">
      <w:pPr>
        <w:spacing w:line="560" w:lineRule="atLeast"/>
        <w:ind w:firstLine="600"/>
        <w:rPr>
          <w:rFonts w:ascii="仿宋_GB2312" w:eastAsia="仿宋_GB2312"/>
          <w:sz w:val="28"/>
          <w:szCs w:val="28"/>
        </w:rPr>
      </w:pPr>
      <w:r>
        <w:rPr>
          <w:rFonts w:hint="eastAsia" w:ascii="仿宋_GB2312" w:eastAsia="仿宋_GB2312"/>
          <w:sz w:val="28"/>
          <w:szCs w:val="28"/>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5376FB33">
      <w:pPr>
        <w:spacing w:line="560" w:lineRule="atLeast"/>
        <w:ind w:firstLine="600"/>
        <w:rPr>
          <w:rFonts w:ascii="仿宋_GB2312" w:eastAsia="仿宋_GB2312"/>
          <w:sz w:val="28"/>
          <w:szCs w:val="28"/>
        </w:rPr>
      </w:pPr>
      <w:r>
        <w:rPr>
          <w:rFonts w:hint="eastAsia" w:ascii="仿宋_GB2312" w:eastAsia="仿宋_GB2312"/>
          <w:sz w:val="28"/>
          <w:szCs w:val="28"/>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2779E50">
      <w:pPr>
        <w:spacing w:line="560" w:lineRule="atLeast"/>
        <w:ind w:firstLine="600"/>
        <w:rPr>
          <w:rFonts w:ascii="仿宋_GB2312" w:eastAsia="仿宋_GB2312"/>
          <w:sz w:val="28"/>
          <w:szCs w:val="28"/>
        </w:rPr>
      </w:pPr>
      <w:r>
        <w:rPr>
          <w:rFonts w:hint="eastAsia" w:ascii="仿宋_GB2312" w:eastAsia="仿宋_GB2312"/>
          <w:sz w:val="28"/>
          <w:szCs w:val="28"/>
        </w:rPr>
        <w:t>5.政府采购：指各级国家机关、事业单位和团体组织，使用财政性资金采购依法制定的集中目录以内的或者采购限额标准以上的货物、工程和服务的行为，是规范财政支出管理和强化预算约束的有效措施。</w:t>
      </w:r>
    </w:p>
    <w:p w14:paraId="25D4703D">
      <w:pPr>
        <w:spacing w:line="560" w:lineRule="atLeast"/>
        <w:ind w:firstLine="560" w:firstLineChars="20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1788A74">
      <w:pPr>
        <w:ind w:firstLine="560" w:firstLineChars="200"/>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支出功能分类项级科目名词解释</w:t>
      </w:r>
    </w:p>
    <w:p w14:paraId="2A738964">
      <w:pPr>
        <w:spacing w:line="560" w:lineRule="atLeast"/>
        <w:ind w:firstLine="601"/>
        <w:rPr>
          <w:rFonts w:ascii="仿宋_GB2312" w:eastAsia="仿宋_GB2312"/>
          <w:sz w:val="28"/>
          <w:szCs w:val="28"/>
        </w:rPr>
      </w:pPr>
      <w:r>
        <w:rPr>
          <w:rFonts w:hint="eastAsia" w:ascii="仿宋_GB2312" w:eastAsia="仿宋_GB2312"/>
          <w:sz w:val="28"/>
          <w:szCs w:val="28"/>
        </w:rPr>
        <w:t>（1）科学技术支出（类）技术研究与开发（款）机构运行（项）（2060401）：反映各类技术研究与开发机构的基本支出。</w:t>
      </w:r>
    </w:p>
    <w:p w14:paraId="4382897D">
      <w:pPr>
        <w:spacing w:line="560" w:lineRule="atLeast"/>
        <w:ind w:firstLine="601"/>
        <w:rPr>
          <w:rFonts w:ascii="仿宋_GB2312" w:eastAsia="仿宋_GB2312"/>
          <w:sz w:val="28"/>
          <w:szCs w:val="28"/>
        </w:rPr>
      </w:pPr>
      <w:r>
        <w:rPr>
          <w:rFonts w:hint="eastAsia" w:ascii="仿宋_GB2312" w:eastAsia="仿宋_GB2312"/>
          <w:sz w:val="28"/>
          <w:szCs w:val="28"/>
        </w:rPr>
        <w:t>（2）科学技术支出（类）科技条件与服务（款）技术创新服务体系（项）（2060502）：反映国家为公益性行业、企业等提供信息、技术，中介等全方位服务和支持，建立健全服务体系等方面的支出。</w:t>
      </w:r>
    </w:p>
    <w:p w14:paraId="5C5B5493">
      <w:pPr>
        <w:spacing w:line="560" w:lineRule="atLeast"/>
        <w:ind w:firstLine="601"/>
        <w:rPr>
          <w:rFonts w:ascii="仿宋_GB2312" w:eastAsia="仿宋_GB2312"/>
          <w:sz w:val="28"/>
          <w:szCs w:val="28"/>
        </w:rPr>
      </w:pPr>
      <w:r>
        <w:rPr>
          <w:rFonts w:hint="eastAsia" w:ascii="仿宋_GB2312" w:eastAsia="仿宋_GB2312"/>
          <w:sz w:val="28"/>
          <w:szCs w:val="28"/>
        </w:rPr>
        <w:t>（3）社会保障和就业支出（类）行政事业单位养老支出（款）机关事业单位养老保险支出（项）（2080505）：反映机关事业单位实施养老保险制度由单位实际缴纳的养老保险支出。</w:t>
      </w:r>
    </w:p>
    <w:p w14:paraId="5CC28883">
      <w:pPr>
        <w:spacing w:line="560" w:lineRule="atLeast"/>
        <w:ind w:firstLine="601"/>
        <w:rPr>
          <w:rFonts w:ascii="仿宋_GB2312" w:eastAsia="仿宋_GB2312"/>
          <w:sz w:val="28"/>
          <w:szCs w:val="28"/>
        </w:rPr>
      </w:pPr>
      <w:r>
        <w:rPr>
          <w:rFonts w:hint="eastAsia" w:ascii="仿宋_GB2312" w:eastAsia="仿宋_GB2312"/>
          <w:sz w:val="28"/>
          <w:szCs w:val="28"/>
        </w:rPr>
        <w:t>（4）社会保障和就业支出（类）行政事业单位养老支出（款）机关事业单位职业年金缴费支出（项）（2080506）：反映机关事业单位实施养老保险制度由单位实际缴纳的职业年金支出。</w:t>
      </w:r>
    </w:p>
    <w:p w14:paraId="31670678">
      <w:pPr>
        <w:spacing w:line="560" w:lineRule="atLeast"/>
        <w:ind w:firstLine="601"/>
        <w:rPr>
          <w:rFonts w:ascii="仿宋_GB2312" w:eastAsia="仿宋_GB2312"/>
          <w:sz w:val="28"/>
          <w:szCs w:val="28"/>
        </w:rPr>
      </w:pPr>
      <w:r>
        <w:rPr>
          <w:rFonts w:hint="eastAsia" w:ascii="仿宋_GB2312" w:eastAsia="仿宋_GB2312"/>
          <w:sz w:val="28"/>
          <w:szCs w:val="28"/>
        </w:rPr>
        <w:t>（5）卫生健康支出（类）行政事业单位医疗（款）事业单位医疗（项）（2101102）：反映财政部门安排的事业单位基本医疗保险缴费经费，未参加医疗保险的事业单位的公费医疗经费、按国家规定享受离休人员待遇的医疗经费。</w:t>
      </w:r>
    </w:p>
    <w:p w14:paraId="419D5D50">
      <w:pPr>
        <w:spacing w:line="560" w:lineRule="atLeast"/>
        <w:ind w:firstLine="601"/>
        <w:rPr>
          <w:rFonts w:ascii="仿宋_GB2312" w:eastAsia="仿宋_GB2312"/>
          <w:sz w:val="28"/>
          <w:szCs w:val="28"/>
        </w:rPr>
      </w:pPr>
      <w:r>
        <w:rPr>
          <w:rFonts w:hint="eastAsia" w:ascii="仿宋_GB2312" w:eastAsia="仿宋_GB2312"/>
          <w:sz w:val="28"/>
          <w:szCs w:val="28"/>
        </w:rPr>
        <w:t>（6）教育支出（类）进修与培训(款）培训支出（项）（2050803）：反映各部门安排的用于培训的支出。</w:t>
      </w:r>
    </w:p>
    <w:p w14:paraId="08145840">
      <w:pPr>
        <w:spacing w:line="560" w:lineRule="atLeast"/>
        <w:ind w:firstLine="600"/>
        <w:rPr>
          <w:rFonts w:ascii="仿宋_GB2312" w:eastAsia="仿宋_GB2312"/>
          <w:sz w:val="28"/>
          <w:szCs w:val="28"/>
        </w:rPr>
      </w:pPr>
    </w:p>
    <w:p w14:paraId="47641ECF">
      <w:pPr>
        <w:spacing w:line="560" w:lineRule="atLeast"/>
        <w:ind w:firstLine="640" w:firstLineChars="200"/>
        <w:jc w:val="center"/>
        <w:rPr>
          <w:rFonts w:ascii="黑体" w:eastAsia="黑体"/>
          <w:sz w:val="32"/>
          <w:szCs w:val="32"/>
        </w:rPr>
      </w:pPr>
    </w:p>
    <w:p w14:paraId="2D8EEA09">
      <w:pPr>
        <w:ind w:firstLine="640" w:firstLineChars="200"/>
        <w:jc w:val="center"/>
        <w:rPr>
          <w:rFonts w:ascii="黑体" w:eastAsia="黑体"/>
          <w:sz w:val="32"/>
          <w:szCs w:val="32"/>
        </w:rPr>
      </w:pPr>
    </w:p>
    <w:p w14:paraId="6EC4AD61">
      <w:pPr>
        <w:ind w:firstLine="640" w:firstLineChars="200"/>
        <w:jc w:val="center"/>
        <w:rPr>
          <w:rFonts w:ascii="黑体" w:eastAsia="黑体"/>
          <w:sz w:val="32"/>
          <w:szCs w:val="32"/>
        </w:rPr>
      </w:pPr>
      <w:r>
        <w:rPr>
          <w:rFonts w:hint="eastAsia" w:ascii="黑体" w:eastAsia="黑体"/>
          <w:sz w:val="32"/>
          <w:szCs w:val="32"/>
        </w:rPr>
        <w:t>第四部分  2023年度部门绩效评价情况</w:t>
      </w:r>
    </w:p>
    <w:p w14:paraId="26F001A8">
      <w:pPr>
        <w:ind w:firstLine="560" w:firstLineChars="200"/>
        <w:rPr>
          <w:rFonts w:ascii="黑体" w:eastAsia="黑体"/>
          <w:sz w:val="28"/>
          <w:szCs w:val="28"/>
          <w:highlight w:val="yellow"/>
        </w:rPr>
      </w:pPr>
    </w:p>
    <w:p w14:paraId="010AB629">
      <w:pPr>
        <w:ind w:firstLine="560" w:firstLineChars="200"/>
        <w:rPr>
          <w:rFonts w:ascii="黑体" w:eastAsia="黑体"/>
          <w:sz w:val="28"/>
          <w:szCs w:val="28"/>
        </w:rPr>
      </w:pPr>
    </w:p>
    <w:p w14:paraId="173F1EC4">
      <w:pPr>
        <w:ind w:firstLine="560" w:firstLineChars="200"/>
        <w:rPr>
          <w:rFonts w:ascii="黑体" w:eastAsia="黑体"/>
          <w:sz w:val="28"/>
          <w:szCs w:val="28"/>
        </w:rPr>
      </w:pPr>
      <w:r>
        <w:rPr>
          <w:rFonts w:hint="eastAsia" w:ascii="黑体" w:eastAsia="黑体"/>
          <w:sz w:val="28"/>
          <w:szCs w:val="28"/>
        </w:rPr>
        <w:t>一</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14:paraId="3AD8C480"/>
    <w:p w14:paraId="167C5D2B">
      <w:pPr>
        <w:pStyle w:val="2"/>
        <w:ind w:firstLine="420"/>
      </w:pPr>
    </w:p>
    <w:p w14:paraId="2E4E6930">
      <w:pPr>
        <w:pStyle w:val="3"/>
      </w:pPr>
    </w:p>
    <w:p w14:paraId="4ED67983"/>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A117B">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14:paraId="78E15A9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5E1B0">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11</w:t>
    </w:r>
    <w:r>
      <w:fldChar w:fldCharType="end"/>
    </w:r>
  </w:p>
  <w:p w14:paraId="673A4033">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AF321">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14:paraId="62D513B2">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467F"/>
    <w:multiLevelType w:val="singleLevel"/>
    <w:tmpl w:val="FDEF467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iMTE1NDFlZGIwMTcyZjg1YjkxMmFiMjYwZTYxMmI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E3CD5"/>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B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1F7D0E"/>
    <w:rsid w:val="00206EC3"/>
    <w:rsid w:val="0021047C"/>
    <w:rsid w:val="00211E4E"/>
    <w:rsid w:val="00213D1C"/>
    <w:rsid w:val="00214C3A"/>
    <w:rsid w:val="00217517"/>
    <w:rsid w:val="00222628"/>
    <w:rsid w:val="002253CB"/>
    <w:rsid w:val="002326DE"/>
    <w:rsid w:val="00234314"/>
    <w:rsid w:val="00241724"/>
    <w:rsid w:val="002419EE"/>
    <w:rsid w:val="0024390C"/>
    <w:rsid w:val="002441F4"/>
    <w:rsid w:val="00244204"/>
    <w:rsid w:val="002448A4"/>
    <w:rsid w:val="00245A0A"/>
    <w:rsid w:val="00246C42"/>
    <w:rsid w:val="002515CC"/>
    <w:rsid w:val="00253ADD"/>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2A3C"/>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46A3E"/>
    <w:rsid w:val="003502B9"/>
    <w:rsid w:val="00351B8F"/>
    <w:rsid w:val="00353226"/>
    <w:rsid w:val="00353717"/>
    <w:rsid w:val="00354630"/>
    <w:rsid w:val="00355817"/>
    <w:rsid w:val="00365A24"/>
    <w:rsid w:val="003712DB"/>
    <w:rsid w:val="00373DDC"/>
    <w:rsid w:val="003819B4"/>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5C11"/>
    <w:rsid w:val="0041688E"/>
    <w:rsid w:val="004170EF"/>
    <w:rsid w:val="0041798C"/>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1DAC"/>
    <w:rsid w:val="005052FA"/>
    <w:rsid w:val="005069E1"/>
    <w:rsid w:val="00507E59"/>
    <w:rsid w:val="005122B5"/>
    <w:rsid w:val="0052381C"/>
    <w:rsid w:val="005346B3"/>
    <w:rsid w:val="0054051C"/>
    <w:rsid w:val="00546A84"/>
    <w:rsid w:val="00547BE2"/>
    <w:rsid w:val="0055353D"/>
    <w:rsid w:val="0056187C"/>
    <w:rsid w:val="00570C95"/>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0DEF"/>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47C"/>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13AD"/>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749AA"/>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47DA"/>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39DA"/>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446D9"/>
    <w:rsid w:val="009462CD"/>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1729"/>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05E22"/>
    <w:rsid w:val="00B12C7A"/>
    <w:rsid w:val="00B12E10"/>
    <w:rsid w:val="00B22BC3"/>
    <w:rsid w:val="00B25865"/>
    <w:rsid w:val="00B272B6"/>
    <w:rsid w:val="00B2771B"/>
    <w:rsid w:val="00B336E9"/>
    <w:rsid w:val="00B33AE5"/>
    <w:rsid w:val="00B35BE5"/>
    <w:rsid w:val="00B46965"/>
    <w:rsid w:val="00B54ED0"/>
    <w:rsid w:val="00B55D47"/>
    <w:rsid w:val="00B6204E"/>
    <w:rsid w:val="00B6214B"/>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D6122"/>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47A83"/>
    <w:rsid w:val="00C5076B"/>
    <w:rsid w:val="00C512D4"/>
    <w:rsid w:val="00C51CF4"/>
    <w:rsid w:val="00C531E2"/>
    <w:rsid w:val="00C53204"/>
    <w:rsid w:val="00C57E34"/>
    <w:rsid w:val="00C64659"/>
    <w:rsid w:val="00C662E9"/>
    <w:rsid w:val="00C66C2D"/>
    <w:rsid w:val="00C7190B"/>
    <w:rsid w:val="00C74AF5"/>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34DEC"/>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4D6C"/>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9567A"/>
    <w:rsid w:val="00EA11B1"/>
    <w:rsid w:val="00EA2224"/>
    <w:rsid w:val="00EA7194"/>
    <w:rsid w:val="00EB1329"/>
    <w:rsid w:val="00EB2987"/>
    <w:rsid w:val="00EB2D75"/>
    <w:rsid w:val="00EB34BE"/>
    <w:rsid w:val="00EB429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0CDE"/>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6739"/>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62B2"/>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79004AC"/>
    <w:rsid w:val="0F8E2C57"/>
    <w:rsid w:val="1059665E"/>
    <w:rsid w:val="10AC13BA"/>
    <w:rsid w:val="1AEC0734"/>
    <w:rsid w:val="1DEF20B0"/>
    <w:rsid w:val="214243FA"/>
    <w:rsid w:val="257A14F5"/>
    <w:rsid w:val="27196C26"/>
    <w:rsid w:val="29EF086F"/>
    <w:rsid w:val="2EFBD1A7"/>
    <w:rsid w:val="2EFFE297"/>
    <w:rsid w:val="2FF75430"/>
    <w:rsid w:val="301437CA"/>
    <w:rsid w:val="38B7156F"/>
    <w:rsid w:val="3E54894A"/>
    <w:rsid w:val="3E5D2FB0"/>
    <w:rsid w:val="3F7F483B"/>
    <w:rsid w:val="3FBFCD0B"/>
    <w:rsid w:val="433E495C"/>
    <w:rsid w:val="47D40760"/>
    <w:rsid w:val="4AC27CB3"/>
    <w:rsid w:val="4BBEDFC7"/>
    <w:rsid w:val="4BF72BEF"/>
    <w:rsid w:val="4D3F4FB9"/>
    <w:rsid w:val="51DB3C59"/>
    <w:rsid w:val="51FB75BE"/>
    <w:rsid w:val="55762E42"/>
    <w:rsid w:val="56ECB2C2"/>
    <w:rsid w:val="57A7B272"/>
    <w:rsid w:val="58470068"/>
    <w:rsid w:val="5A1720F9"/>
    <w:rsid w:val="5B9C37C2"/>
    <w:rsid w:val="5B9D2A20"/>
    <w:rsid w:val="5BA7C654"/>
    <w:rsid w:val="5BF6702B"/>
    <w:rsid w:val="5FB9A0A4"/>
    <w:rsid w:val="5FCEA9FA"/>
    <w:rsid w:val="64C0607C"/>
    <w:rsid w:val="676F09E1"/>
    <w:rsid w:val="6AFFC212"/>
    <w:rsid w:val="6DEFC4CC"/>
    <w:rsid w:val="6FF6C1EE"/>
    <w:rsid w:val="73E7962C"/>
    <w:rsid w:val="75BFC2D8"/>
    <w:rsid w:val="762F27C7"/>
    <w:rsid w:val="77D5E1FE"/>
    <w:rsid w:val="77E73DE0"/>
    <w:rsid w:val="77FF77BC"/>
    <w:rsid w:val="7A7F1C49"/>
    <w:rsid w:val="7AAD08F5"/>
    <w:rsid w:val="7B5B7AE6"/>
    <w:rsid w:val="7BA7071E"/>
    <w:rsid w:val="7BDF6DA8"/>
    <w:rsid w:val="7C7EDC1A"/>
    <w:rsid w:val="7CCED98D"/>
    <w:rsid w:val="7D08410F"/>
    <w:rsid w:val="7DB96DED"/>
    <w:rsid w:val="7DD3AD81"/>
    <w:rsid w:val="7EADAD50"/>
    <w:rsid w:val="7EC31B2A"/>
    <w:rsid w:val="7EF3BB52"/>
    <w:rsid w:val="7EFFEA6E"/>
    <w:rsid w:val="7F7F0EFE"/>
    <w:rsid w:val="7F7FE70F"/>
    <w:rsid w:val="7FED08C6"/>
    <w:rsid w:val="7FFF772F"/>
    <w:rsid w:val="8CDDA69D"/>
    <w:rsid w:val="95F35EF6"/>
    <w:rsid w:val="96EF8F2E"/>
    <w:rsid w:val="9B7D8CDC"/>
    <w:rsid w:val="9BFFD860"/>
    <w:rsid w:val="AC5F73DE"/>
    <w:rsid w:val="B5DDD2C8"/>
    <w:rsid w:val="B9DFABD9"/>
    <w:rsid w:val="BC0D83FC"/>
    <w:rsid w:val="BC7DAAB3"/>
    <w:rsid w:val="BF3BDEFB"/>
    <w:rsid w:val="BF932957"/>
    <w:rsid w:val="BF9FFF58"/>
    <w:rsid w:val="BFFF7352"/>
    <w:rsid w:val="C75F6086"/>
    <w:rsid w:val="C7F7ED2D"/>
    <w:rsid w:val="CD7B25CC"/>
    <w:rsid w:val="CFAF854E"/>
    <w:rsid w:val="D8D7928E"/>
    <w:rsid w:val="D8FE3136"/>
    <w:rsid w:val="DB7AFFD0"/>
    <w:rsid w:val="DDDE60B7"/>
    <w:rsid w:val="DE9F6A22"/>
    <w:rsid w:val="DF4FCE6A"/>
    <w:rsid w:val="E4FED278"/>
    <w:rsid w:val="EDAA365C"/>
    <w:rsid w:val="EDADFC12"/>
    <w:rsid w:val="F1D5D6C7"/>
    <w:rsid w:val="F2FD229B"/>
    <w:rsid w:val="F7F709E9"/>
    <w:rsid w:val="F7FF3690"/>
    <w:rsid w:val="F9BD3900"/>
    <w:rsid w:val="FC8B9876"/>
    <w:rsid w:val="FE6E5FFF"/>
    <w:rsid w:val="FEDFF218"/>
    <w:rsid w:val="FEDFFFFF"/>
    <w:rsid w:val="FEE73BAF"/>
    <w:rsid w:val="FF37C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annotation text"/>
    <w:basedOn w:val="1"/>
    <w:qFormat/>
    <w:uiPriority w:val="0"/>
    <w:pPr>
      <w:jc w:val="left"/>
    </w:p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styleId="15">
    <w:name w:val="annotation reference"/>
    <w:basedOn w:val="12"/>
    <w:qFormat/>
    <w:uiPriority w:val="0"/>
    <w:rPr>
      <w:sz w:val="21"/>
      <w:szCs w:val="21"/>
    </w:rPr>
  </w:style>
  <w:style w:type="character" w:customStyle="1" w:styleId="16">
    <w:name w:val="页脚 Char"/>
    <w:link w:val="8"/>
    <w:qFormat/>
    <w:uiPriority w:val="0"/>
    <w:rPr>
      <w:rFonts w:eastAsia="宋体"/>
      <w:kern w:val="2"/>
      <w:sz w:val="18"/>
      <w:szCs w:val="18"/>
      <w:lang w:val="en-US" w:eastAsia="zh-CN" w:bidi="ar-SA"/>
    </w:rPr>
  </w:style>
  <w:style w:type="character" w:customStyle="1" w:styleId="17">
    <w:name w:val="页眉 Char"/>
    <w:link w:val="9"/>
    <w:qFormat/>
    <w:uiPriority w:val="0"/>
    <w:rPr>
      <w:rFonts w:ascii="Calibri" w:hAnsi="Calibri" w:eastAsia="宋体"/>
      <w:kern w:val="2"/>
      <w:sz w:val="18"/>
      <w:szCs w:val="18"/>
      <w:lang w:val="en-US" w:eastAsia="zh-CN" w:bidi="ar-SA"/>
    </w:rPr>
  </w:style>
  <w:style w:type="paragraph" w:customStyle="1" w:styleId="18">
    <w:name w:val="Char Char Char Char Char Char Char"/>
    <w:basedOn w:val="1"/>
    <w:qFormat/>
    <w:uiPriority w:val="0"/>
    <w:rPr>
      <w:rFonts w:ascii="Tahoma" w:hAnsi="Tahoma"/>
      <w:sz w:val="24"/>
      <w:szCs w:val="20"/>
    </w:rPr>
  </w:style>
  <w:style w:type="paragraph" w:customStyle="1" w:styleId="19">
    <w:name w:val="Char1 Char Char Char"/>
    <w:basedOn w:val="1"/>
    <w:qFormat/>
    <w:uiPriority w:val="0"/>
    <w:pPr>
      <w:widowControl/>
      <w:spacing w:after="160" w:line="240" w:lineRule="exact"/>
      <w:jc w:val="left"/>
    </w:pPr>
    <w:rPr>
      <w:szCs w:val="20"/>
    </w:rPr>
  </w:style>
  <w:style w:type="paragraph" w:customStyle="1" w:styleId="20">
    <w:name w:val="Char"/>
    <w:basedOn w:val="1"/>
    <w:qFormat/>
    <w:uiPriority w:val="0"/>
    <w:rPr>
      <w:rFonts w:ascii="Tahoma" w:hAnsi="Tahoma"/>
      <w:sz w:val="24"/>
      <w:szCs w:val="20"/>
    </w:rPr>
  </w:style>
  <w:style w:type="paragraph" w:customStyle="1" w:styleId="21">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收入决算</a:t>
            </a:r>
            <a:endParaRPr lang="en-US" sz="1100"/>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2081.92</c:v>
                </c:pt>
                <c:pt idx="1">
                  <c:v>0</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5"/>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
    <c:plotVisOnly val="1"/>
    <c:dispBlanksAs val="gap"/>
    <c:showDLblsOverMax val="0"/>
    <c:extLst>
      <c:ext uri="{0b15fc19-7d7d-44ad-8c2d-2c3a37ce22c3}">
        <chartProps xmlns="https://web.wps.cn/et/2018/main" chartId="{637ee1eb-edbb-40e0-a774-098b4dcb0b89}"/>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Sheet0!$B$1</c:f>
              <c:strCache>
                <c:ptCount val="1"/>
                <c:pt idx="0">
                  <c:v>支出</c:v>
                </c:pt>
              </c:strCache>
            </c:strRef>
          </c:tx>
          <c:spPr/>
          <c:explosion val="0"/>
          <c:dPt>
            <c:idx val="0"/>
            <c:bubble3D val="0"/>
            <c:spPr>
              <a:solidFill>
                <a:srgbClr val="4F81BD"/>
              </a:solidFill>
              <a:ln w="19050">
                <a:solidFill>
                  <a:schemeClr val="lt1"/>
                </a:solidFill>
              </a:ln>
              <a:effectLst/>
            </c:spPr>
          </c:dPt>
          <c:dPt>
            <c:idx val="1"/>
            <c:bubble3D val="0"/>
            <c:spPr>
              <a:solidFill>
                <a:srgbClr val="C0504D"/>
              </a:solidFill>
              <a:ln w="19050">
                <a:solidFill>
                  <a:schemeClr val="lt1"/>
                </a:solidFill>
              </a:ln>
              <a:effectLst/>
            </c:spPr>
          </c:dPt>
          <c:dPt>
            <c:idx val="2"/>
            <c:bubble3D val="0"/>
            <c:spPr>
              <a:solidFill>
                <a:srgbClr val="9BBB59"/>
              </a:solidFill>
              <a:ln w="19050">
                <a:solidFill>
                  <a:schemeClr val="lt1"/>
                </a:solidFill>
              </a:ln>
              <a:effectLst/>
            </c:spPr>
          </c:dPt>
          <c:dPt>
            <c:idx val="3"/>
            <c:bubble3D val="0"/>
            <c:spPr>
              <a:solidFill>
                <a:srgbClr val="8064A2"/>
              </a:solidFill>
              <a:ln w="19050">
                <a:solidFill>
                  <a:schemeClr val="lt1"/>
                </a:solidFill>
              </a:ln>
              <a:effectLst/>
            </c:spPr>
          </c:dPt>
          <c:dPt>
            <c:idx val="4"/>
            <c:bubble3D val="0"/>
            <c:spPr>
              <a:solidFill>
                <a:srgbClr val="4BACC6"/>
              </a:solidFill>
              <a:ln w="19050">
                <a:solidFill>
                  <a:schemeClr val="lt1"/>
                </a:solidFill>
              </a:ln>
              <a:effectLst/>
            </c:spPr>
          </c:dPt>
          <c:dLbls>
            <c:dLbl>
              <c:idx val="2"/>
              <c:delete val="1"/>
            </c:dLbl>
            <c:dLbl>
              <c:idx val="3"/>
              <c:delete val="1"/>
            </c:dLbl>
            <c:dLbl>
              <c:idx val="4"/>
              <c:delete val="1"/>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1770.13</c:v>
                </c:pt>
                <c:pt idx="1">
                  <c:v>232.31</c:v>
                </c:pt>
                <c:pt idx="2">
                  <c:v>0</c:v>
                </c:pt>
                <c:pt idx="3">
                  <c:v>0</c:v>
                </c:pt>
                <c:pt idx="4">
                  <c:v>0</c:v>
                </c:pt>
              </c:numCache>
            </c:numRef>
          </c:val>
        </c:ser>
        <c:dLbls>
          <c:showLegendKey val="0"/>
          <c:showVal val="1"/>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6a5d200-1152-46e5-b481-262e1a8eb1b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299</Words>
  <Characters>317</Characters>
  <Lines>31</Lines>
  <Paragraphs>8</Paragraphs>
  <TotalTime>18</TotalTime>
  <ScaleCrop>false</ScaleCrop>
  <LinksUpToDate>false</LinksUpToDate>
  <CharactersWithSpaces>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2017-07-15T15:16:00Z</dcterms:created>
  <dc:creator>常程</dc:creator>
  <cp:lastModifiedBy>Fangshu</cp:lastModifiedBy>
  <cp:lastPrinted>2024-06-12T10:01:00Z</cp:lastPrinted>
  <dcterms:modified xsi:type="dcterms:W3CDTF">2026-04-29T01:38:59Z</dcterms:modified>
  <dc:title>北京市财政局关于做好向市人大常委会报送2015年度市级部门决算（草案）</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C53E0049DD7D4F56A956C4A3BA3D12CC_13</vt:lpwstr>
  </property>
  <property fmtid="{D5CDD505-2E9C-101B-9397-08002B2CF9AE}" pid="4" name="KSOTemplateDocerSaveRecord">
    <vt:lpwstr>eyJoZGlkIjoiZDlhYjRlM2NhOTczYzIyZDk4NTUxZjcyYzE2YTNiNDMiLCJ1c2VySWQiOiIzMTc2MjcyNzgifQ==</vt:lpwstr>
  </property>
</Properties>
</file>