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4881E1">
      <w:pPr>
        <w:spacing w:line="560" w:lineRule="exact"/>
        <w:jc w:val="center"/>
        <w:rPr>
          <w:rFonts w:hint="eastAsia" w:ascii="方正小标宋简体" w:eastAsia="方正小标宋简体"/>
          <w:color w:val="000000"/>
          <w:sz w:val="44"/>
          <w:szCs w:val="44"/>
          <w:u w:val="none"/>
          <w:lang w:val="en-US" w:eastAsia="zh-CN"/>
        </w:rPr>
      </w:pPr>
      <w:bookmarkStart w:id="0" w:name="_GoBack"/>
      <w:bookmarkEnd w:id="0"/>
      <w:r>
        <w:rPr>
          <w:rFonts w:hint="eastAsia" w:ascii="方正小标宋简体" w:eastAsia="方正小标宋简体"/>
          <w:color w:val="000000"/>
          <w:sz w:val="44"/>
          <w:szCs w:val="44"/>
          <w:u w:val="none"/>
          <w:lang w:val="en-US" w:eastAsia="zh-CN"/>
        </w:rPr>
        <w:t>北京科技创新促进中心</w:t>
      </w:r>
    </w:p>
    <w:p w14:paraId="687CB948">
      <w:pPr>
        <w:spacing w:line="560" w:lineRule="exact"/>
        <w:jc w:val="center"/>
        <w:rPr>
          <w:rFonts w:hint="eastAsia" w:ascii="方正小标宋简体" w:eastAsia="方正小标宋简体"/>
          <w:color w:val="000000"/>
          <w:sz w:val="44"/>
          <w:szCs w:val="44"/>
          <w:u w:val="none"/>
        </w:rPr>
      </w:pPr>
      <w:r>
        <w:rPr>
          <w:rFonts w:hint="eastAsia" w:ascii="方正小标宋简体" w:eastAsia="方正小标宋简体"/>
          <w:color w:val="000000"/>
          <w:sz w:val="44"/>
          <w:szCs w:val="44"/>
          <w:u w:val="none"/>
          <w:lang w:eastAsia="zh-CN"/>
        </w:rPr>
        <w:t>2025年度单位</w:t>
      </w:r>
      <w:r>
        <w:rPr>
          <w:rFonts w:hint="eastAsia" w:ascii="方正小标宋简体" w:eastAsia="方正小标宋简体"/>
          <w:color w:val="000000"/>
          <w:sz w:val="44"/>
          <w:szCs w:val="44"/>
          <w:u w:val="none"/>
        </w:rPr>
        <w:t>预算信息公开</w:t>
      </w:r>
    </w:p>
    <w:p w14:paraId="56622D15">
      <w:pPr>
        <w:spacing w:line="240" w:lineRule="exact"/>
        <w:jc w:val="center"/>
        <w:rPr>
          <w:rFonts w:hint="eastAsia" w:ascii="方正小标宋简体" w:eastAsia="方正小标宋简体"/>
          <w:color w:val="000000"/>
          <w:sz w:val="32"/>
          <w:szCs w:val="32"/>
          <w:u w:val="none"/>
        </w:rPr>
      </w:pPr>
    </w:p>
    <w:p w14:paraId="32A65E52">
      <w:pPr>
        <w:spacing w:line="560" w:lineRule="exact"/>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2"/>
          <w:szCs w:val="32"/>
          <w:u w:val="none"/>
        </w:rPr>
        <w:t>目   录</w:t>
      </w:r>
    </w:p>
    <w:p w14:paraId="4A34C9B6">
      <w:pPr>
        <w:pStyle w:val="2"/>
        <w:rPr>
          <w:rFonts w:hint="default" w:ascii="Cambria" w:eastAsia="黑体"/>
          <w:color w:val="000000"/>
          <w:sz w:val="36"/>
          <w:szCs w:val="32"/>
        </w:rPr>
      </w:pPr>
    </w:p>
    <w:p w14:paraId="70DF9460">
      <w:pPr>
        <w:spacing w:line="240" w:lineRule="exact"/>
        <w:jc w:val="center"/>
        <w:rPr>
          <w:rFonts w:hint="eastAsia" w:ascii="方正小标宋简体" w:eastAsia="方正小标宋简体"/>
          <w:color w:val="000000"/>
          <w:sz w:val="32"/>
          <w:szCs w:val="32"/>
          <w:u w:val="none"/>
        </w:rPr>
      </w:pPr>
    </w:p>
    <w:p w14:paraId="5AA84C11">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第一部分 </w:t>
      </w:r>
      <w:r>
        <w:rPr>
          <w:rFonts w:hint="eastAsia" w:ascii="黑体" w:hAnsi="黑体" w:eastAsia="黑体" w:cs="黑体"/>
          <w:color w:val="000000"/>
          <w:sz w:val="32"/>
          <w:szCs w:val="32"/>
          <w:u w:val="none"/>
          <w:lang w:eastAsia="zh-CN"/>
        </w:rPr>
        <w:t>2025年</w:t>
      </w:r>
      <w:r>
        <w:rPr>
          <w:rFonts w:hint="eastAsia" w:ascii="黑体" w:hAnsi="黑体" w:eastAsia="黑体" w:cs="黑体"/>
          <w:color w:val="000000"/>
          <w:sz w:val="32"/>
          <w:szCs w:val="32"/>
          <w:u w:val="none"/>
        </w:rPr>
        <w:t>度单位预算情况说明</w:t>
      </w:r>
    </w:p>
    <w:p w14:paraId="737E4F1C">
      <w:pPr>
        <w:spacing w:line="560" w:lineRule="exact"/>
        <w:ind w:firstLine="640" w:firstLineChars="200"/>
        <w:rPr>
          <w:rFonts w:hint="eastAsia" w:ascii="仿宋_GB2312" w:hAnsi="仿宋_GB2312" w:eastAsia="仿宋_GB2312" w:cs="仿宋_GB2312"/>
          <w:color w:val="000000"/>
          <w:sz w:val="32"/>
          <w:szCs w:val="32"/>
          <w:u w:val="none"/>
          <w:lang w:val="en"/>
        </w:rPr>
      </w:pPr>
      <w:r>
        <w:rPr>
          <w:rFonts w:hint="eastAsia" w:ascii="仿宋_GB2312" w:hAnsi="仿宋_GB2312" w:eastAsia="仿宋_GB2312" w:cs="仿宋_GB2312"/>
          <w:color w:val="000000"/>
          <w:sz w:val="32"/>
          <w:szCs w:val="32"/>
          <w:u w:val="none"/>
        </w:rPr>
        <w:t>一、单位情况</w:t>
      </w:r>
      <w:r>
        <w:rPr>
          <w:rFonts w:hint="eastAsia" w:ascii="仿宋_GB2312" w:hAnsi="仿宋_GB2312" w:eastAsia="仿宋_GB2312" w:cs="仿宋_GB2312"/>
          <w:color w:val="000000"/>
          <w:sz w:val="32"/>
          <w:szCs w:val="32"/>
          <w:u w:val="none"/>
          <w:lang w:eastAsia="zh-CN"/>
        </w:rPr>
        <w:t>说明</w:t>
      </w:r>
    </w:p>
    <w:p w14:paraId="04F26F69">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二、收入</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14:paraId="739A486D">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三、支出</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14:paraId="25BA5C1C">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四、财政拨款“三公”经费预算</w:t>
      </w:r>
      <w:r>
        <w:rPr>
          <w:rFonts w:hint="eastAsia" w:ascii="仿宋_GB2312" w:hAnsi="仿宋_GB2312" w:eastAsia="仿宋_GB2312" w:cs="仿宋_GB2312"/>
          <w:color w:val="000000"/>
          <w:sz w:val="32"/>
          <w:szCs w:val="32"/>
          <w:u w:val="none"/>
          <w:lang w:eastAsia="zh-CN"/>
        </w:rPr>
        <w:t>情况</w:t>
      </w:r>
      <w:r>
        <w:rPr>
          <w:rFonts w:hint="eastAsia" w:ascii="仿宋_GB2312" w:hAnsi="仿宋_GB2312" w:eastAsia="仿宋_GB2312" w:cs="仿宋_GB2312"/>
          <w:color w:val="000000"/>
          <w:sz w:val="32"/>
          <w:szCs w:val="32"/>
          <w:u w:val="none"/>
        </w:rPr>
        <w:t>说明</w:t>
      </w:r>
    </w:p>
    <w:p w14:paraId="77E94F3E">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五、其他情况说明</w:t>
      </w:r>
    </w:p>
    <w:p w14:paraId="3BF16672">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六、名词解释</w:t>
      </w:r>
    </w:p>
    <w:p w14:paraId="3331AE66">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第二部分 </w:t>
      </w:r>
      <w:r>
        <w:rPr>
          <w:rFonts w:hint="eastAsia" w:ascii="黑体" w:hAnsi="黑体" w:eastAsia="黑体" w:cs="黑体"/>
          <w:color w:val="000000"/>
          <w:sz w:val="32"/>
          <w:szCs w:val="32"/>
          <w:u w:val="none"/>
          <w:lang w:eastAsia="zh-CN"/>
        </w:rPr>
        <w:t>2025年</w:t>
      </w:r>
      <w:r>
        <w:rPr>
          <w:rFonts w:hint="eastAsia" w:ascii="黑体" w:hAnsi="黑体" w:eastAsia="黑体" w:cs="黑体"/>
          <w:color w:val="000000"/>
          <w:sz w:val="32"/>
          <w:szCs w:val="32"/>
          <w:u w:val="none"/>
        </w:rPr>
        <w:t>度单位预算报表</w:t>
      </w:r>
    </w:p>
    <w:p w14:paraId="5DD59A25">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一、收支总表</w:t>
      </w:r>
    </w:p>
    <w:p w14:paraId="3AD91B95">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二、收入总表    </w:t>
      </w:r>
    </w:p>
    <w:p w14:paraId="680750D9">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三、支出总表</w:t>
      </w:r>
    </w:p>
    <w:p w14:paraId="411146EA">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四、项目支出表</w:t>
      </w:r>
    </w:p>
    <w:p w14:paraId="206E2F31">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五、政府采购预算明细表</w:t>
      </w:r>
    </w:p>
    <w:p w14:paraId="6AC511BC">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六、财政拨款收支总表</w:t>
      </w:r>
    </w:p>
    <w:p w14:paraId="09493776">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七、一般公共预算财政拨款支出表</w:t>
      </w:r>
    </w:p>
    <w:p w14:paraId="643B0EFA">
      <w:pPr>
        <w:autoSpaceDE w:val="0"/>
        <w:autoSpaceDN w:val="0"/>
        <w:adjustRightInd w:val="0"/>
        <w:spacing w:line="560" w:lineRule="exact"/>
        <w:jc w:val="left"/>
        <w:rPr>
          <w:rFonts w:hint="eastAsia" w:ascii="仿宋_GB2312" w:hAnsi="仿宋_GB2312" w:eastAsia="仿宋_GB2312" w:cs="仿宋_GB2312"/>
          <w:color w:val="000000"/>
          <w:spacing w:val="-16"/>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w:t>
      </w:r>
      <w:r>
        <w:rPr>
          <w:rFonts w:hint="eastAsia" w:ascii="仿宋_GB2312" w:hAnsi="仿宋_GB2312" w:eastAsia="仿宋_GB2312" w:cs="仿宋_GB2312"/>
          <w:color w:val="000000"/>
          <w:spacing w:val="-16"/>
          <w:kern w:val="0"/>
          <w:sz w:val="32"/>
          <w:szCs w:val="32"/>
          <w:u w:val="none"/>
          <w:lang w:val="zh-CN"/>
        </w:rPr>
        <w:t>八、一般公共预算财政拨款基本支出表</w:t>
      </w:r>
    </w:p>
    <w:p w14:paraId="1892E86A">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九、政府性基金预算财政拨款支出表</w:t>
      </w:r>
    </w:p>
    <w:p w14:paraId="3FB903DF">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kern w:val="0"/>
          <w:sz w:val="32"/>
          <w:szCs w:val="32"/>
          <w:u w:val="none"/>
          <w:lang w:val="zh-CN"/>
        </w:rPr>
        <w:t>十、国有资本经营预算财政拨款支出表</w:t>
      </w:r>
    </w:p>
    <w:p w14:paraId="562FFAA5">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十一、财政拨款</w:t>
      </w:r>
      <w:r>
        <w:rPr>
          <w:rFonts w:hint="eastAsia" w:ascii="仿宋_GB2312" w:hAnsi="仿宋_GB2312" w:eastAsia="仿宋_GB2312" w:cs="仿宋_GB2312"/>
          <w:color w:val="000000"/>
          <w:kern w:val="0"/>
          <w:sz w:val="32"/>
          <w:szCs w:val="32"/>
          <w:u w:val="none"/>
          <w:lang w:val="zh-CN"/>
        </w:rPr>
        <w:t>“三公”经费支出表</w:t>
      </w:r>
    </w:p>
    <w:p w14:paraId="347E18A5">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十二、政府购买服务预算财政拨款明细表</w:t>
      </w:r>
    </w:p>
    <w:p w14:paraId="502D4307">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十三、项目支出绩效目标表</w:t>
      </w:r>
    </w:p>
    <w:p w14:paraId="6FFEC69B">
      <w:pPr>
        <w:spacing w:line="560" w:lineRule="exact"/>
        <w:jc w:val="center"/>
        <w:rPr>
          <w:rFonts w:hint="eastAsia" w:ascii="仿宋_GB2312" w:hAnsi="仿宋_GB2312" w:eastAsia="仿宋_GB2312" w:cs="仿宋_GB2312"/>
          <w:color w:val="000000"/>
          <w:sz w:val="36"/>
          <w:szCs w:val="36"/>
          <w:u w:val="none"/>
        </w:rPr>
      </w:pPr>
    </w:p>
    <w:p w14:paraId="10B423F4">
      <w:pPr>
        <w:spacing w:line="560" w:lineRule="exact"/>
        <w:jc w:val="center"/>
        <w:rPr>
          <w:rFonts w:hint="eastAsia" w:ascii="仿宋_GB2312" w:hAnsi="仿宋_GB2312" w:eastAsia="仿宋_GB2312" w:cs="仿宋_GB2312"/>
          <w:color w:val="000000"/>
          <w:sz w:val="36"/>
          <w:szCs w:val="36"/>
          <w:u w:val="none"/>
        </w:rPr>
      </w:pPr>
    </w:p>
    <w:p w14:paraId="04C0C418">
      <w:pPr>
        <w:spacing w:line="560" w:lineRule="exact"/>
        <w:jc w:val="center"/>
        <w:rPr>
          <w:rFonts w:hint="eastAsia" w:ascii="仿宋_GB2312" w:hAnsi="仿宋_GB2312" w:eastAsia="仿宋_GB2312" w:cs="仿宋_GB2312"/>
          <w:color w:val="000000"/>
          <w:sz w:val="36"/>
          <w:szCs w:val="36"/>
          <w:u w:val="none"/>
        </w:rPr>
      </w:pPr>
    </w:p>
    <w:p w14:paraId="2D81A124">
      <w:pPr>
        <w:spacing w:line="560" w:lineRule="exact"/>
        <w:jc w:val="center"/>
        <w:rPr>
          <w:rFonts w:hint="eastAsia" w:ascii="仿宋_GB2312" w:hAnsi="仿宋_GB2312" w:eastAsia="仿宋_GB2312" w:cs="仿宋_GB2312"/>
          <w:color w:val="000000"/>
          <w:sz w:val="36"/>
          <w:szCs w:val="36"/>
          <w:u w:val="none"/>
        </w:rPr>
      </w:pPr>
    </w:p>
    <w:p w14:paraId="0863E628">
      <w:pPr>
        <w:spacing w:line="560" w:lineRule="exact"/>
        <w:jc w:val="center"/>
        <w:rPr>
          <w:rFonts w:hint="eastAsia" w:ascii="仿宋_GB2312" w:hAnsi="仿宋_GB2312" w:eastAsia="仿宋_GB2312" w:cs="仿宋_GB2312"/>
          <w:color w:val="000000"/>
          <w:sz w:val="36"/>
          <w:szCs w:val="36"/>
          <w:u w:val="none"/>
        </w:rPr>
      </w:pPr>
    </w:p>
    <w:p w14:paraId="4CDC0EB2">
      <w:pPr>
        <w:spacing w:line="560" w:lineRule="exact"/>
        <w:jc w:val="center"/>
        <w:rPr>
          <w:rFonts w:hint="eastAsia" w:ascii="仿宋_GB2312" w:hAnsi="仿宋_GB2312" w:eastAsia="仿宋_GB2312" w:cs="仿宋_GB2312"/>
          <w:color w:val="000000"/>
          <w:sz w:val="36"/>
          <w:szCs w:val="36"/>
          <w:u w:val="none"/>
        </w:rPr>
      </w:pPr>
    </w:p>
    <w:p w14:paraId="5BA14ECB">
      <w:pPr>
        <w:spacing w:line="560" w:lineRule="exact"/>
        <w:jc w:val="center"/>
        <w:rPr>
          <w:rFonts w:hint="eastAsia" w:ascii="仿宋_GB2312" w:hAnsi="仿宋_GB2312" w:eastAsia="仿宋_GB2312" w:cs="仿宋_GB2312"/>
          <w:color w:val="000000"/>
          <w:sz w:val="36"/>
          <w:szCs w:val="36"/>
          <w:u w:val="none"/>
        </w:rPr>
      </w:pPr>
    </w:p>
    <w:p w14:paraId="730CF0F2">
      <w:pPr>
        <w:spacing w:line="560" w:lineRule="exact"/>
        <w:jc w:val="center"/>
        <w:rPr>
          <w:rFonts w:hint="eastAsia" w:ascii="方正小标宋简体" w:eastAsia="方正小标宋简体"/>
          <w:color w:val="000000"/>
          <w:sz w:val="36"/>
          <w:szCs w:val="36"/>
          <w:u w:val="none"/>
        </w:rPr>
      </w:pPr>
    </w:p>
    <w:p w14:paraId="587D6BCB">
      <w:pPr>
        <w:spacing w:line="560" w:lineRule="exact"/>
        <w:jc w:val="center"/>
        <w:rPr>
          <w:rFonts w:hint="eastAsia" w:ascii="方正小标宋简体" w:eastAsia="方正小标宋简体"/>
          <w:color w:val="000000"/>
          <w:sz w:val="36"/>
          <w:szCs w:val="36"/>
          <w:u w:val="none"/>
        </w:rPr>
      </w:pPr>
    </w:p>
    <w:p w14:paraId="5728EC39">
      <w:pPr>
        <w:spacing w:line="560" w:lineRule="exact"/>
        <w:jc w:val="center"/>
        <w:rPr>
          <w:rFonts w:hint="eastAsia" w:ascii="方正小标宋简体" w:eastAsia="方正小标宋简体"/>
          <w:color w:val="000000"/>
          <w:sz w:val="36"/>
          <w:szCs w:val="36"/>
          <w:u w:val="none"/>
        </w:rPr>
      </w:pPr>
    </w:p>
    <w:p w14:paraId="3EB0AE33">
      <w:pPr>
        <w:spacing w:line="560" w:lineRule="exact"/>
        <w:jc w:val="center"/>
        <w:rPr>
          <w:rFonts w:hint="eastAsia" w:ascii="方正小标宋简体" w:eastAsia="方正小标宋简体"/>
          <w:color w:val="000000"/>
          <w:sz w:val="36"/>
          <w:szCs w:val="36"/>
          <w:u w:val="none"/>
        </w:rPr>
      </w:pPr>
    </w:p>
    <w:p w14:paraId="2AAA1EF7">
      <w:pPr>
        <w:spacing w:line="560" w:lineRule="exact"/>
        <w:jc w:val="center"/>
        <w:rPr>
          <w:rFonts w:hint="eastAsia" w:ascii="方正小标宋简体" w:eastAsia="方正小标宋简体"/>
          <w:color w:val="000000"/>
          <w:sz w:val="36"/>
          <w:szCs w:val="36"/>
          <w:u w:val="none"/>
        </w:rPr>
      </w:pPr>
    </w:p>
    <w:p w14:paraId="54BC7C0A">
      <w:pPr>
        <w:spacing w:line="560" w:lineRule="exact"/>
        <w:jc w:val="center"/>
        <w:rPr>
          <w:rFonts w:hint="eastAsia" w:ascii="方正小标宋简体" w:eastAsia="方正小标宋简体"/>
          <w:color w:val="000000"/>
          <w:sz w:val="36"/>
          <w:szCs w:val="36"/>
          <w:u w:val="none"/>
        </w:rPr>
      </w:pPr>
    </w:p>
    <w:p w14:paraId="35A98698">
      <w:pPr>
        <w:spacing w:line="560" w:lineRule="exact"/>
        <w:jc w:val="center"/>
        <w:rPr>
          <w:rFonts w:hint="eastAsia" w:ascii="方正小标宋简体" w:eastAsia="方正小标宋简体"/>
          <w:color w:val="000000"/>
          <w:sz w:val="36"/>
          <w:szCs w:val="36"/>
          <w:u w:val="none"/>
        </w:rPr>
      </w:pPr>
    </w:p>
    <w:p w14:paraId="2AB41BE2">
      <w:pPr>
        <w:spacing w:line="560" w:lineRule="exact"/>
        <w:jc w:val="center"/>
        <w:rPr>
          <w:rFonts w:hint="eastAsia" w:ascii="方正小标宋简体" w:eastAsia="方正小标宋简体"/>
          <w:color w:val="000000"/>
          <w:sz w:val="36"/>
          <w:szCs w:val="36"/>
          <w:u w:val="none"/>
        </w:rPr>
      </w:pPr>
    </w:p>
    <w:p w14:paraId="2782A3C3">
      <w:pPr>
        <w:spacing w:line="560" w:lineRule="exact"/>
        <w:jc w:val="center"/>
        <w:rPr>
          <w:rFonts w:hint="eastAsia" w:ascii="方正小标宋简体" w:eastAsia="方正小标宋简体"/>
          <w:color w:val="000000"/>
          <w:sz w:val="36"/>
          <w:szCs w:val="36"/>
          <w:u w:val="none"/>
        </w:rPr>
      </w:pPr>
    </w:p>
    <w:p w14:paraId="19689F90">
      <w:pPr>
        <w:spacing w:line="560" w:lineRule="exact"/>
        <w:jc w:val="center"/>
        <w:rPr>
          <w:rFonts w:hint="eastAsia" w:ascii="方正小标宋简体" w:eastAsia="方正小标宋简体"/>
          <w:color w:val="000000"/>
          <w:sz w:val="36"/>
          <w:szCs w:val="36"/>
          <w:u w:val="none"/>
        </w:rPr>
      </w:pPr>
    </w:p>
    <w:p w14:paraId="18B16DBE">
      <w:pPr>
        <w:spacing w:line="560" w:lineRule="exact"/>
        <w:jc w:val="center"/>
        <w:rPr>
          <w:rFonts w:hint="eastAsia" w:ascii="方正小标宋简体" w:eastAsia="方正小标宋简体"/>
          <w:color w:val="000000"/>
          <w:sz w:val="36"/>
          <w:szCs w:val="36"/>
          <w:u w:val="none"/>
        </w:rPr>
      </w:pPr>
    </w:p>
    <w:p w14:paraId="31F7BAFB">
      <w:pPr>
        <w:spacing w:line="560" w:lineRule="exact"/>
        <w:jc w:val="center"/>
        <w:rPr>
          <w:rFonts w:hint="eastAsia" w:ascii="方正小标宋简体" w:eastAsia="方正小标宋简体"/>
          <w:color w:val="000000"/>
          <w:sz w:val="36"/>
          <w:szCs w:val="36"/>
          <w:u w:val="none"/>
        </w:rPr>
      </w:pPr>
    </w:p>
    <w:p w14:paraId="11B923D8">
      <w:pPr>
        <w:pStyle w:val="2"/>
        <w:spacing w:before="0" w:beforeAutospacing="0" w:after="0" w:afterAutospacing="0"/>
        <w:rPr>
          <w:rFonts w:hint="eastAsia"/>
        </w:rPr>
      </w:pPr>
    </w:p>
    <w:p w14:paraId="5CBB253D">
      <w:pPr>
        <w:spacing w:line="560" w:lineRule="exact"/>
        <w:jc w:val="center"/>
        <w:rPr>
          <w:rFonts w:hint="eastAsia" w:ascii="方正小标宋简体" w:eastAsia="方正小标宋简体"/>
          <w:color w:val="000000"/>
          <w:sz w:val="36"/>
          <w:szCs w:val="36"/>
          <w:u w:val="none"/>
        </w:rPr>
      </w:pPr>
    </w:p>
    <w:p w14:paraId="0978DB61">
      <w:pPr>
        <w:spacing w:line="560" w:lineRule="exact"/>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6"/>
          <w:szCs w:val="36"/>
          <w:u w:val="none"/>
        </w:rPr>
        <w:t xml:space="preserve">第一部分  </w:t>
      </w:r>
      <w:r>
        <w:rPr>
          <w:rFonts w:hint="eastAsia" w:ascii="方正小标宋简体" w:eastAsia="方正小标宋简体"/>
          <w:color w:val="000000"/>
          <w:sz w:val="36"/>
          <w:szCs w:val="36"/>
          <w:u w:val="none"/>
          <w:lang w:eastAsia="zh-CN"/>
        </w:rPr>
        <w:t>2025年度</w:t>
      </w:r>
      <w:r>
        <w:rPr>
          <w:rFonts w:hint="eastAsia" w:ascii="方正小标宋简体" w:eastAsia="方正小标宋简体"/>
          <w:color w:val="000000"/>
          <w:sz w:val="36"/>
          <w:szCs w:val="36"/>
          <w:u w:val="none"/>
        </w:rPr>
        <w:t>单位预算情况说明</w:t>
      </w:r>
    </w:p>
    <w:p w14:paraId="4C93BA9C">
      <w:pPr>
        <w:spacing w:line="360" w:lineRule="auto"/>
        <w:rPr>
          <w:rFonts w:hint="eastAsia" w:ascii="仿宋_GB2312" w:eastAsia="仿宋_GB2312"/>
          <w:color w:val="000000"/>
          <w:sz w:val="32"/>
          <w:szCs w:val="32"/>
          <w:u w:val="none"/>
        </w:rPr>
      </w:pPr>
    </w:p>
    <w:p w14:paraId="78E43950">
      <w:p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一、单位情况</w:t>
      </w:r>
      <w:r>
        <w:rPr>
          <w:rFonts w:hint="eastAsia" w:ascii="黑体" w:eastAsia="黑体"/>
          <w:color w:val="000000"/>
          <w:sz w:val="32"/>
          <w:szCs w:val="32"/>
          <w:u w:val="none"/>
          <w:lang w:eastAsia="zh-CN"/>
        </w:rPr>
        <w:t>说明</w:t>
      </w:r>
    </w:p>
    <w:p w14:paraId="2E1C13FB">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（一）本单位性质、职责等情况</w:t>
      </w:r>
    </w:p>
    <w:p w14:paraId="422C53D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s="Times New Roman"/>
          <w:color w:val="000000"/>
          <w:sz w:val="32"/>
          <w:szCs w:val="32"/>
        </w:rPr>
      </w:pPr>
      <w:r>
        <w:rPr>
          <w:rFonts w:hint="eastAsia" w:ascii="仿宋_GB2312" w:eastAsia="仿宋_GB2312" w:cs="Times New Roman"/>
          <w:color w:val="000000"/>
          <w:sz w:val="32"/>
          <w:szCs w:val="32"/>
        </w:rPr>
        <w:t>根据中共北京市委机构编制委员会《关于市科委、中关村管委会所属事业单位改革有关事项的批复》（京编委〔2021〕66号）的文件，整合北京科技协作中心、北京工业设计促进中心、北京市科委农村发展中心、北京市可持续发展科技促进中心、北京市科技传播中心，组建北京科技创新促进中心</w:t>
      </w:r>
      <w:r>
        <w:rPr>
          <w:rFonts w:hint="eastAsia" w:ascii="仿宋_GB2312" w:eastAsia="仿宋_GB2312" w:cs="Times New Roman"/>
          <w:sz w:val="32"/>
          <w:szCs w:val="32"/>
        </w:rPr>
        <w:t>（以下简称“促进中心”）</w:t>
      </w:r>
      <w:r>
        <w:rPr>
          <w:rFonts w:hint="eastAsia" w:ascii="仿宋_GB2312" w:eastAsia="仿宋_GB2312" w:cs="Times New Roman"/>
          <w:color w:val="000000"/>
          <w:sz w:val="32"/>
          <w:szCs w:val="32"/>
        </w:rPr>
        <w:t>。促进中心是北京市科学技术委员会、中关村科技园区管理委员会所属公益一类事业单位。</w:t>
      </w:r>
    </w:p>
    <w:p w14:paraId="0392F2C6">
      <w:pPr>
        <w:keepNext w:val="0"/>
        <w:keepLines w:val="0"/>
        <w:pageBreakBefore w:val="0"/>
        <w:widowControl w:val="0"/>
        <w:suppressAutoHyphens/>
        <w:kinsoku/>
        <w:wordWrap/>
        <w:overflowPunct/>
        <w:topLinePunct w:val="0"/>
        <w:autoSpaceDE/>
        <w:autoSpaceDN/>
        <w:bidi w:val="0"/>
        <w:adjustRightInd/>
        <w:snapToGrid/>
        <w:spacing w:line="560" w:lineRule="exact"/>
        <w:ind w:firstLine="640" w:firstLineChars="200"/>
        <w:textAlignment w:val="auto"/>
        <w:rPr>
          <w:rFonts w:cs="Times New Roman"/>
          <w:b/>
          <w:bCs/>
          <w:szCs w:val="22"/>
        </w:rPr>
      </w:pPr>
      <w:r>
        <w:rPr>
          <w:rFonts w:hint="eastAsia" w:ascii="仿宋_GB2312" w:eastAsia="仿宋_GB2312" w:cs="Times New Roman"/>
          <w:sz w:val="32"/>
          <w:szCs w:val="32"/>
        </w:rPr>
        <w:t>促进中心主要职责是：</w:t>
      </w:r>
    </w:p>
    <w:p w14:paraId="6BB6057E">
      <w:pPr>
        <w:keepNext w:val="0"/>
        <w:keepLines w:val="0"/>
        <w:pageBreakBefore w:val="0"/>
        <w:widowControl w:val="0"/>
        <w:suppressAutoHyphens/>
        <w:kinsoku/>
        <w:wordWrap/>
        <w:overflowPunct/>
        <w:topLinePunct w:val="0"/>
        <w:autoSpaceDE/>
        <w:autoSpaceDN/>
        <w:bidi w:val="0"/>
        <w:adjustRightInd/>
        <w:snapToGrid/>
        <w:spacing w:line="560" w:lineRule="exact"/>
        <w:ind w:firstLine="640" w:firstLineChars="200"/>
        <w:textAlignment w:val="auto"/>
        <w:rPr>
          <w:rFonts w:ascii="仿宋_GB2312" w:hAnsi="Calibri" w:eastAsia="仿宋_GB2312" w:cs="Times New Roman"/>
          <w:sz w:val="32"/>
          <w:szCs w:val="32"/>
        </w:rPr>
      </w:pPr>
      <w:r>
        <w:rPr>
          <w:rFonts w:hint="eastAsia" w:ascii="仿宋_GB2312" w:hAnsi="Calibri" w:eastAsia="仿宋_GB2312" w:cs="Times New Roman"/>
          <w:sz w:val="32"/>
          <w:szCs w:val="32"/>
        </w:rPr>
        <w:t>1.承担本市科技创新促进方面的技术性事务性工作，为国际科技创新中心建设提供支持服务。</w:t>
      </w:r>
    </w:p>
    <w:p w14:paraId="5243602D">
      <w:pPr>
        <w:keepNext w:val="0"/>
        <w:keepLines w:val="0"/>
        <w:pageBreakBefore w:val="0"/>
        <w:widowControl w:val="0"/>
        <w:suppressAutoHyphens/>
        <w:kinsoku/>
        <w:wordWrap/>
        <w:overflowPunct/>
        <w:topLinePunct w:val="0"/>
        <w:autoSpaceDE/>
        <w:autoSpaceDN/>
        <w:bidi w:val="0"/>
        <w:adjustRightInd/>
        <w:snapToGrid/>
        <w:spacing w:line="560" w:lineRule="exact"/>
        <w:ind w:firstLine="640" w:firstLineChars="200"/>
        <w:textAlignment w:val="auto"/>
        <w:rPr>
          <w:rFonts w:ascii="仿宋_GB2312" w:hAnsi="Calibri" w:eastAsia="仿宋_GB2312" w:cs="Times New Roman"/>
          <w:sz w:val="32"/>
          <w:szCs w:val="32"/>
        </w:rPr>
      </w:pPr>
      <w:r>
        <w:rPr>
          <w:rFonts w:hint="eastAsia" w:ascii="仿宋_GB2312" w:hAnsi="Calibri" w:eastAsia="仿宋_GB2312" w:cs="Times New Roman"/>
          <w:sz w:val="32"/>
          <w:szCs w:val="32"/>
        </w:rPr>
        <w:t>2.承担在京中央企业和科研机构的联络服务工作，支持引导科技创新领域布局和成果转化落地。</w:t>
      </w:r>
    </w:p>
    <w:p w14:paraId="6F87B0D8">
      <w:pPr>
        <w:keepNext w:val="0"/>
        <w:keepLines w:val="0"/>
        <w:pageBreakBefore w:val="0"/>
        <w:widowControl w:val="0"/>
        <w:suppressAutoHyphens/>
        <w:kinsoku/>
        <w:wordWrap/>
        <w:overflowPunct/>
        <w:topLinePunct w:val="0"/>
        <w:autoSpaceDE/>
        <w:autoSpaceDN/>
        <w:bidi w:val="0"/>
        <w:adjustRightInd/>
        <w:snapToGrid/>
        <w:spacing w:line="560" w:lineRule="exact"/>
        <w:ind w:firstLine="640" w:firstLineChars="200"/>
        <w:textAlignment w:val="auto"/>
        <w:rPr>
          <w:rFonts w:ascii="仿宋_GB2312" w:hAnsi="Calibri" w:eastAsia="仿宋_GB2312" w:cs="Times New Roman"/>
          <w:sz w:val="32"/>
          <w:szCs w:val="32"/>
        </w:rPr>
      </w:pPr>
      <w:r>
        <w:rPr>
          <w:rFonts w:hint="eastAsia" w:ascii="仿宋_GB2312" w:hAnsi="Calibri" w:eastAsia="仿宋_GB2312" w:cs="Times New Roman"/>
          <w:sz w:val="32"/>
          <w:szCs w:val="32"/>
        </w:rPr>
        <w:t>3.承担区域科技合作和京津冀科技协同创新的事务性工作，拓展京津冀创新链、产业链发展的战略纵深，承担京津冀协同创新项目管理有关具体工作。</w:t>
      </w:r>
    </w:p>
    <w:p w14:paraId="08845A89">
      <w:pPr>
        <w:keepNext w:val="0"/>
        <w:keepLines w:val="0"/>
        <w:pageBreakBefore w:val="0"/>
        <w:widowControl w:val="0"/>
        <w:suppressAutoHyphens/>
        <w:kinsoku/>
        <w:wordWrap/>
        <w:overflowPunct/>
        <w:topLinePunct w:val="0"/>
        <w:autoSpaceDE/>
        <w:autoSpaceDN/>
        <w:bidi w:val="0"/>
        <w:adjustRightInd/>
        <w:snapToGrid/>
        <w:spacing w:line="560" w:lineRule="exact"/>
        <w:ind w:firstLine="640" w:firstLineChars="200"/>
        <w:textAlignment w:val="auto"/>
        <w:rPr>
          <w:rFonts w:ascii="仿宋_GB2312" w:hAnsi="Calibri" w:eastAsia="仿宋_GB2312" w:cs="Times New Roman"/>
          <w:sz w:val="32"/>
          <w:szCs w:val="32"/>
        </w:rPr>
      </w:pPr>
      <w:r>
        <w:rPr>
          <w:rFonts w:hint="eastAsia" w:ascii="仿宋_GB2312" w:hAnsi="Calibri" w:eastAsia="仿宋_GB2312" w:cs="Times New Roman"/>
          <w:sz w:val="32"/>
          <w:szCs w:val="32"/>
        </w:rPr>
        <w:t>4.承担城市、工业设计、文化、科技服务业等领域科技创新方面的布局研究、项目凝练、项目管理、创新主体联络服务等事务性工作。</w:t>
      </w:r>
    </w:p>
    <w:p w14:paraId="197DC2B6">
      <w:pPr>
        <w:keepNext w:val="0"/>
        <w:keepLines w:val="0"/>
        <w:pageBreakBefore w:val="0"/>
        <w:widowControl w:val="0"/>
        <w:suppressAutoHyphens/>
        <w:kinsoku/>
        <w:wordWrap/>
        <w:overflowPunct/>
        <w:topLinePunct w:val="0"/>
        <w:autoSpaceDE/>
        <w:autoSpaceDN/>
        <w:bidi w:val="0"/>
        <w:adjustRightInd/>
        <w:snapToGrid/>
        <w:spacing w:line="560" w:lineRule="exact"/>
        <w:ind w:firstLine="640" w:firstLineChars="200"/>
        <w:textAlignment w:val="auto"/>
        <w:rPr>
          <w:rFonts w:ascii="仿宋_GB2312" w:hAnsi="Calibri" w:eastAsia="仿宋_GB2312" w:cs="Times New Roman"/>
          <w:sz w:val="32"/>
          <w:szCs w:val="32"/>
        </w:rPr>
      </w:pPr>
      <w:r>
        <w:rPr>
          <w:rFonts w:hint="eastAsia" w:ascii="仿宋_GB2312" w:hAnsi="Calibri" w:eastAsia="仿宋_GB2312" w:cs="Times New Roman"/>
          <w:sz w:val="32"/>
          <w:szCs w:val="32"/>
        </w:rPr>
        <w:t>5.承担</w:t>
      </w:r>
      <w:r>
        <w:rPr>
          <w:rFonts w:hint="eastAsia" w:ascii="仿宋_GB2312" w:hAnsi="Calibri" w:eastAsia="仿宋_GB2312" w:cs="Times New Roman"/>
          <w:sz w:val="32"/>
          <w:szCs w:val="32"/>
          <w:shd w:val="clear"/>
          <w:lang w:val="en-US" w:eastAsia="zh-CN"/>
        </w:rPr>
        <w:t>新兴领域</w:t>
      </w:r>
      <w:r>
        <w:rPr>
          <w:rFonts w:hint="eastAsia" w:ascii="仿宋_GB2312" w:hAnsi="Calibri" w:eastAsia="仿宋_GB2312" w:cs="Times New Roman"/>
          <w:sz w:val="32"/>
          <w:szCs w:val="32"/>
        </w:rPr>
        <w:t>方面的技术需求对接、产品推广服务、科研资源共享等技术性事务性工作。</w:t>
      </w:r>
    </w:p>
    <w:p w14:paraId="00510185">
      <w:pPr>
        <w:keepNext w:val="0"/>
        <w:keepLines w:val="0"/>
        <w:pageBreakBefore w:val="0"/>
        <w:widowControl w:val="0"/>
        <w:suppressAutoHyphens/>
        <w:kinsoku/>
        <w:wordWrap/>
        <w:overflowPunct/>
        <w:topLinePunct w:val="0"/>
        <w:autoSpaceDE/>
        <w:autoSpaceDN/>
        <w:bidi w:val="0"/>
        <w:adjustRightInd/>
        <w:snapToGrid/>
        <w:spacing w:line="560" w:lineRule="exact"/>
        <w:ind w:firstLine="640" w:firstLineChars="200"/>
        <w:textAlignment w:val="auto"/>
        <w:rPr>
          <w:rFonts w:ascii="仿宋_GB2312" w:hAnsi="Calibri" w:eastAsia="仿宋_GB2312" w:cs="Times New Roman"/>
          <w:sz w:val="32"/>
          <w:szCs w:val="32"/>
        </w:rPr>
      </w:pPr>
      <w:r>
        <w:rPr>
          <w:rFonts w:hint="eastAsia" w:ascii="仿宋_GB2312" w:hAnsi="Calibri" w:eastAsia="仿宋_GB2312" w:cs="Times New Roman"/>
          <w:sz w:val="32"/>
          <w:szCs w:val="32"/>
        </w:rPr>
        <w:t>6.承担本市科技资源共享、科技志愿服务，以及新型研发机构管理、科技金融服务等方面事务性工作。</w:t>
      </w:r>
    </w:p>
    <w:p w14:paraId="012AD7E1">
      <w:pPr>
        <w:keepNext w:val="0"/>
        <w:keepLines w:val="0"/>
        <w:pageBreakBefore w:val="0"/>
        <w:widowControl w:val="0"/>
        <w:suppressAutoHyphens/>
        <w:kinsoku/>
        <w:wordWrap/>
        <w:overflowPunct/>
        <w:topLinePunct w:val="0"/>
        <w:autoSpaceDE/>
        <w:autoSpaceDN/>
        <w:bidi w:val="0"/>
        <w:adjustRightInd/>
        <w:snapToGrid/>
        <w:spacing w:line="560" w:lineRule="exact"/>
        <w:ind w:firstLine="640" w:firstLineChars="200"/>
        <w:textAlignment w:val="auto"/>
        <w:rPr>
          <w:rFonts w:ascii="仿宋_GB2312" w:hAnsi="Calibri" w:eastAsia="仿宋_GB2312" w:cs="Times New Roman"/>
          <w:sz w:val="32"/>
          <w:szCs w:val="32"/>
        </w:rPr>
      </w:pPr>
      <w:r>
        <w:rPr>
          <w:rFonts w:hint="eastAsia" w:ascii="仿宋_GB2312" w:hAnsi="Calibri" w:eastAsia="仿宋_GB2312" w:cs="Times New Roman"/>
          <w:sz w:val="32"/>
          <w:szCs w:val="32"/>
        </w:rPr>
        <w:t>7.承担本市可持续发展科技促进工作，具体联系联合国教科文组织国际创意与可持续发展中心。</w:t>
      </w:r>
    </w:p>
    <w:p w14:paraId="544D7435">
      <w:pPr>
        <w:keepNext w:val="0"/>
        <w:keepLines w:val="0"/>
        <w:pageBreakBefore w:val="0"/>
        <w:widowControl w:val="0"/>
        <w:suppressAutoHyphens/>
        <w:kinsoku/>
        <w:wordWrap/>
        <w:overflowPunct/>
        <w:topLinePunct w:val="0"/>
        <w:autoSpaceDE/>
        <w:autoSpaceDN/>
        <w:bidi w:val="0"/>
        <w:adjustRightInd/>
        <w:snapToGrid/>
        <w:spacing w:line="560" w:lineRule="exact"/>
        <w:ind w:firstLine="640" w:firstLineChars="200"/>
        <w:textAlignment w:val="auto"/>
        <w:rPr>
          <w:rFonts w:ascii="仿宋_GB2312" w:hAnsi="Calibri" w:eastAsia="仿宋_GB2312" w:cs="Times New Roman"/>
          <w:sz w:val="32"/>
          <w:szCs w:val="32"/>
        </w:rPr>
      </w:pPr>
      <w:r>
        <w:rPr>
          <w:rFonts w:hint="eastAsia" w:ascii="仿宋_GB2312" w:hAnsi="Calibri" w:eastAsia="仿宋_GB2312" w:cs="Times New Roman"/>
          <w:sz w:val="32"/>
          <w:szCs w:val="32"/>
        </w:rPr>
        <w:t>8.承担科技融媒体等科技信息传播工作，承担国际科技创新中心融媒体平台建设、科技舆情监测等事务性工作，承担科普管理相关工作和市科普联席会议办公室日常工作。</w:t>
      </w:r>
    </w:p>
    <w:p w14:paraId="638DA59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_GB2312" w:eastAsia="楷体_GB2312" w:cs="Times New Roman"/>
          <w:color w:val="000000"/>
          <w:sz w:val="32"/>
          <w:szCs w:val="32"/>
        </w:rPr>
      </w:pPr>
      <w:r>
        <w:rPr>
          <w:rFonts w:hint="eastAsia" w:ascii="仿宋_GB2312" w:hAnsi="Calibri" w:eastAsia="仿宋_GB2312" w:cs="Times New Roman"/>
          <w:sz w:val="32"/>
          <w:szCs w:val="32"/>
        </w:rPr>
        <w:t>9.</w:t>
      </w:r>
      <w:r>
        <w:rPr>
          <w:rFonts w:ascii="仿宋_GB2312" w:hAnsi="Calibri" w:eastAsia="仿宋_GB2312" w:cs="Times New Roman"/>
          <w:sz w:val="32"/>
          <w:szCs w:val="32"/>
        </w:rPr>
        <w:t>完成市科委、中关村管委会交办的其他任务。</w:t>
      </w:r>
    </w:p>
    <w:p w14:paraId="53938103">
      <w:pPr>
        <w:numPr>
          <w:ilvl w:val="0"/>
          <w:numId w:val="1"/>
        </w:num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机构设置情况</w:t>
      </w:r>
    </w:p>
    <w:p w14:paraId="2D22A230">
      <w:pPr>
        <w:keepNext w:val="0"/>
        <w:keepLines w:val="0"/>
        <w:pageBreakBefore w:val="0"/>
        <w:widowControl w:val="0"/>
        <w:suppressAutoHyphens/>
        <w:kinsoku/>
        <w:wordWrap/>
        <w:overflowPunct/>
        <w:topLinePunct w:val="0"/>
        <w:autoSpaceDE/>
        <w:autoSpaceDN/>
        <w:bidi w:val="0"/>
        <w:adjustRightInd/>
        <w:snapToGrid/>
        <w:spacing w:line="560" w:lineRule="exact"/>
        <w:ind w:firstLine="640" w:firstLineChars="200"/>
        <w:textAlignment w:val="auto"/>
        <w:rPr>
          <w:rFonts w:hint="eastAsia" w:ascii="仿宋_GB2312" w:hAnsi="Calibri" w:eastAsia="仿宋_GB2312" w:cs="Times New Roman"/>
          <w:sz w:val="32"/>
          <w:szCs w:val="32"/>
        </w:rPr>
      </w:pPr>
      <w:r>
        <w:rPr>
          <w:rFonts w:hint="eastAsia" w:ascii="仿宋_GB2312" w:hAnsi="Calibri" w:eastAsia="仿宋_GB2312" w:cs="Times New Roman"/>
          <w:sz w:val="32"/>
          <w:szCs w:val="32"/>
        </w:rPr>
        <w:t>促进中心内设部门分别为：办公室</w:t>
      </w:r>
      <w:r>
        <w:rPr>
          <w:rFonts w:hint="eastAsia" w:ascii="仿宋_GB2312" w:hAnsi="Calibri" w:eastAsia="仿宋_GB2312" w:cs="Times New Roman"/>
          <w:sz w:val="32"/>
          <w:szCs w:val="32"/>
          <w:lang w:eastAsia="zh-CN"/>
        </w:rPr>
        <w:t>（</w:t>
      </w:r>
      <w:r>
        <w:rPr>
          <w:rFonts w:hint="eastAsia" w:ascii="仿宋_GB2312" w:hAnsi="Calibri" w:eastAsia="仿宋_GB2312" w:cs="Times New Roman"/>
          <w:sz w:val="32"/>
          <w:szCs w:val="32"/>
        </w:rPr>
        <w:t>研究室</w:t>
      </w:r>
      <w:r>
        <w:rPr>
          <w:rFonts w:hint="eastAsia" w:ascii="仿宋_GB2312" w:hAnsi="Calibri" w:eastAsia="仿宋_GB2312" w:cs="Times New Roman"/>
          <w:sz w:val="32"/>
          <w:szCs w:val="32"/>
          <w:lang w:eastAsia="zh-CN"/>
        </w:rPr>
        <w:t>）</w:t>
      </w:r>
      <w:r>
        <w:rPr>
          <w:rFonts w:hint="eastAsia" w:ascii="仿宋_GB2312" w:hAnsi="Calibri" w:eastAsia="仿宋_GB2312" w:cs="Times New Roman"/>
          <w:sz w:val="32"/>
          <w:szCs w:val="32"/>
        </w:rPr>
        <w:t>、央企联络部、区域科技合作部</w:t>
      </w:r>
      <w:r>
        <w:rPr>
          <w:rFonts w:hint="eastAsia" w:ascii="仿宋_GB2312" w:hAnsi="Calibri" w:eastAsia="仿宋_GB2312" w:cs="Times New Roman"/>
          <w:sz w:val="32"/>
          <w:szCs w:val="32"/>
          <w:lang w:eastAsia="zh-CN"/>
        </w:rPr>
        <w:t>（</w:t>
      </w:r>
      <w:r>
        <w:rPr>
          <w:rFonts w:hint="eastAsia" w:ascii="仿宋_GB2312" w:hAnsi="Calibri" w:eastAsia="仿宋_GB2312" w:cs="Times New Roman"/>
          <w:sz w:val="32"/>
          <w:szCs w:val="32"/>
        </w:rPr>
        <w:t>京津冀科技创新部</w:t>
      </w:r>
      <w:r>
        <w:rPr>
          <w:rFonts w:hint="eastAsia" w:ascii="仿宋_GB2312" w:hAnsi="Calibri" w:eastAsia="仿宋_GB2312" w:cs="Times New Roman"/>
          <w:sz w:val="32"/>
          <w:szCs w:val="32"/>
          <w:lang w:eastAsia="zh-CN"/>
        </w:rPr>
        <w:t>）</w:t>
      </w:r>
      <w:r>
        <w:rPr>
          <w:rFonts w:hint="eastAsia" w:ascii="仿宋_GB2312" w:hAnsi="Calibri" w:eastAsia="仿宋_GB2312" w:cs="Times New Roman"/>
          <w:sz w:val="32"/>
          <w:szCs w:val="32"/>
        </w:rPr>
        <w:t>、科研机构管理部、科技金融部、城市科技部、文化科技与科普工作部</w:t>
      </w:r>
      <w:r>
        <w:rPr>
          <w:rFonts w:hint="eastAsia" w:ascii="仿宋_GB2312" w:hAnsi="Calibri" w:eastAsia="仿宋_GB2312" w:cs="Times New Roman"/>
          <w:sz w:val="32"/>
          <w:szCs w:val="32"/>
          <w:lang w:eastAsia="zh-CN"/>
        </w:rPr>
        <w:t>（</w:t>
      </w:r>
      <w:r>
        <w:rPr>
          <w:rFonts w:hint="eastAsia" w:ascii="仿宋_GB2312" w:hAnsi="Calibri" w:eastAsia="仿宋_GB2312" w:cs="Times New Roman"/>
          <w:sz w:val="32"/>
          <w:szCs w:val="32"/>
        </w:rPr>
        <w:t>工业设计部</w:t>
      </w:r>
      <w:r>
        <w:rPr>
          <w:rFonts w:hint="eastAsia" w:ascii="仿宋_GB2312" w:hAnsi="Calibri" w:eastAsia="仿宋_GB2312" w:cs="Times New Roman"/>
          <w:sz w:val="32"/>
          <w:szCs w:val="32"/>
          <w:lang w:eastAsia="zh-CN"/>
        </w:rPr>
        <w:t>）</w:t>
      </w:r>
      <w:r>
        <w:rPr>
          <w:rFonts w:hint="eastAsia" w:ascii="仿宋_GB2312" w:hAnsi="Calibri" w:eastAsia="仿宋_GB2312" w:cs="Times New Roman"/>
          <w:sz w:val="32"/>
          <w:szCs w:val="32"/>
        </w:rPr>
        <w:t>、科技服务业部、科技融媒体部、财务部、党群工作与人力资源部。</w:t>
      </w:r>
    </w:p>
    <w:p w14:paraId="28D848EB">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（三）人员</w:t>
      </w:r>
      <w:r>
        <w:rPr>
          <w:rFonts w:hint="eastAsia" w:ascii="楷体_GB2312" w:eastAsia="楷体_GB2312"/>
          <w:color w:val="000000"/>
          <w:sz w:val="32"/>
          <w:szCs w:val="32"/>
          <w:u w:val="none"/>
          <w:lang w:eastAsia="zh-CN"/>
        </w:rPr>
        <w:t>编制及实有</w:t>
      </w:r>
      <w:r>
        <w:rPr>
          <w:rFonts w:hint="eastAsia" w:ascii="楷体_GB2312" w:eastAsia="楷体_GB2312"/>
          <w:color w:val="000000"/>
          <w:sz w:val="32"/>
          <w:szCs w:val="32"/>
          <w:u w:val="none"/>
        </w:rPr>
        <w:t>情况</w:t>
      </w:r>
    </w:p>
    <w:p w14:paraId="1F0DCED1">
      <w:pPr>
        <w:spacing w:line="560" w:lineRule="exact"/>
        <w:ind w:firstLine="640" w:firstLineChars="200"/>
        <w:rPr>
          <w:rFonts w:hint="eastAsia" w:ascii="仿宋_GB2312" w:eastAsia="仿宋_GB2312" w:cs="Times New Roman"/>
          <w:sz w:val="32"/>
          <w:szCs w:val="32"/>
          <w:lang w:eastAsia="zh-CN"/>
        </w:rPr>
      </w:pPr>
      <w:r>
        <w:rPr>
          <w:rFonts w:hint="eastAsia" w:ascii="仿宋_GB2312" w:eastAsia="仿宋_GB2312" w:cs="Droid Sans"/>
          <w:sz w:val="32"/>
          <w:szCs w:val="32"/>
        </w:rPr>
        <w:t>促进中心</w:t>
      </w:r>
      <w:r>
        <w:rPr>
          <w:rFonts w:hint="eastAsia" w:ascii="仿宋_GB2312" w:eastAsia="仿宋_GB2312" w:cs="Times New Roman"/>
          <w:sz w:val="32"/>
          <w:szCs w:val="32"/>
        </w:rPr>
        <w:t>事业编制120人，实有人数</w:t>
      </w:r>
      <w:r>
        <w:rPr>
          <w:rFonts w:hint="eastAsia" w:ascii="仿宋_GB2312" w:eastAsia="仿宋_GB2312" w:cs="Times New Roman"/>
          <w:sz w:val="32"/>
          <w:szCs w:val="32"/>
          <w:lang w:val="en-US" w:eastAsia="zh-CN"/>
        </w:rPr>
        <w:t>100</w:t>
      </w:r>
      <w:r>
        <w:rPr>
          <w:rFonts w:hint="eastAsia" w:ascii="仿宋_GB2312" w:eastAsia="仿宋_GB2312" w:cs="Times New Roman"/>
          <w:sz w:val="32"/>
          <w:szCs w:val="32"/>
        </w:rPr>
        <w:t>人</w:t>
      </w:r>
      <w:r>
        <w:rPr>
          <w:rFonts w:hint="eastAsia" w:ascii="仿宋_GB2312" w:eastAsia="仿宋_GB2312" w:cs="Times New Roman"/>
          <w:sz w:val="32"/>
          <w:szCs w:val="32"/>
          <w:lang w:eastAsia="zh-CN"/>
        </w:rPr>
        <w:t>。</w:t>
      </w:r>
    </w:p>
    <w:p w14:paraId="2099E517">
      <w:pPr>
        <w:spacing w:line="560" w:lineRule="exact"/>
        <w:ind w:firstLine="640" w:firstLineChars="200"/>
        <w:rPr>
          <w:rFonts w:ascii="仿宋_GB2312" w:eastAsia="仿宋_GB2312" w:cs="Times New Roman"/>
          <w:sz w:val="32"/>
          <w:szCs w:val="32"/>
        </w:rPr>
      </w:pPr>
      <w:r>
        <w:rPr>
          <w:rFonts w:hint="eastAsia" w:ascii="仿宋_GB2312" w:eastAsia="仿宋_GB2312" w:cs="Droid Sans"/>
          <w:sz w:val="32"/>
          <w:szCs w:val="32"/>
        </w:rPr>
        <w:t>离退休人员7</w:t>
      </w:r>
      <w:r>
        <w:rPr>
          <w:rFonts w:hint="eastAsia" w:ascii="仿宋_GB2312" w:eastAsia="仿宋_GB2312" w:cs="Droid Sans"/>
          <w:sz w:val="32"/>
          <w:szCs w:val="32"/>
          <w:lang w:val="en-US" w:eastAsia="zh-CN"/>
        </w:rPr>
        <w:t>3</w:t>
      </w:r>
      <w:r>
        <w:rPr>
          <w:rFonts w:hint="eastAsia" w:ascii="仿宋_GB2312" w:eastAsia="仿宋_GB2312" w:cs="Droid Sans"/>
          <w:sz w:val="32"/>
          <w:szCs w:val="32"/>
        </w:rPr>
        <w:t>人，其中：离休0人，退休7</w:t>
      </w:r>
      <w:r>
        <w:rPr>
          <w:rFonts w:hint="eastAsia" w:ascii="仿宋_GB2312" w:eastAsia="仿宋_GB2312" w:cs="Droid Sans"/>
          <w:sz w:val="32"/>
          <w:szCs w:val="32"/>
          <w:lang w:val="en-US" w:eastAsia="zh-CN"/>
        </w:rPr>
        <w:t>3</w:t>
      </w:r>
      <w:r>
        <w:rPr>
          <w:rFonts w:hint="eastAsia" w:ascii="仿宋_GB2312" w:eastAsia="仿宋_GB2312" w:cs="Droid Sans"/>
          <w:sz w:val="32"/>
          <w:szCs w:val="32"/>
        </w:rPr>
        <w:t>人。</w:t>
      </w:r>
    </w:p>
    <w:p w14:paraId="40175856">
      <w:p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二、收入</w:t>
      </w:r>
      <w:r>
        <w:rPr>
          <w:rFonts w:hint="eastAsia" w:ascii="黑体" w:eastAsia="黑体"/>
          <w:color w:val="000000"/>
          <w:sz w:val="32"/>
          <w:szCs w:val="32"/>
          <w:u w:val="none"/>
          <w:lang w:eastAsia="zh-CN"/>
        </w:rPr>
        <w:t>预算</w:t>
      </w:r>
      <w:r>
        <w:rPr>
          <w:rFonts w:hint="eastAsia" w:ascii="黑体" w:eastAsia="黑体"/>
          <w:color w:val="000000"/>
          <w:sz w:val="32"/>
          <w:szCs w:val="32"/>
          <w:u w:val="none"/>
        </w:rPr>
        <w:t>情况</w:t>
      </w:r>
      <w:r>
        <w:rPr>
          <w:rFonts w:hint="eastAsia" w:ascii="黑体" w:eastAsia="黑体"/>
          <w:color w:val="000000"/>
          <w:sz w:val="32"/>
          <w:szCs w:val="32"/>
          <w:u w:val="none"/>
          <w:lang w:eastAsia="zh-CN"/>
        </w:rPr>
        <w:t>说明</w:t>
      </w:r>
    </w:p>
    <w:p w14:paraId="26E281B0">
      <w:pPr>
        <w:spacing w:line="560" w:lineRule="exact"/>
        <w:ind w:firstLine="640" w:firstLineChars="200"/>
        <w:rPr>
          <w:rFonts w:hint="eastAsia"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2025年度收入预算</w:t>
      </w:r>
      <w:r>
        <w:rPr>
          <w:rFonts w:hint="eastAsia" w:ascii="仿宋_GB2312" w:eastAsia="仿宋_GB2312" w:cs="Droid Sans"/>
          <w:color w:val="auto"/>
          <w:sz w:val="32"/>
          <w:szCs w:val="32"/>
          <w:u w:val="none"/>
        </w:rPr>
        <w:t>6,</w:t>
      </w:r>
      <w:r>
        <w:rPr>
          <w:rFonts w:hint="eastAsia" w:ascii="仿宋_GB2312" w:eastAsia="仿宋_GB2312" w:cs="Droid Sans"/>
          <w:color w:val="auto"/>
          <w:sz w:val="32"/>
          <w:szCs w:val="32"/>
          <w:u w:val="none"/>
          <w:lang w:val="en-US" w:eastAsia="zh-CN"/>
        </w:rPr>
        <w:t>448</w:t>
      </w:r>
      <w:r>
        <w:rPr>
          <w:rFonts w:hint="eastAsia" w:ascii="仿宋_GB2312" w:eastAsia="仿宋_GB2312" w:cs="Droid Sans"/>
          <w:color w:val="auto"/>
          <w:sz w:val="32"/>
          <w:szCs w:val="32"/>
          <w:u w:val="none"/>
        </w:rPr>
        <w:t>.</w:t>
      </w:r>
      <w:r>
        <w:rPr>
          <w:rFonts w:hint="eastAsia" w:ascii="仿宋_GB2312" w:eastAsia="仿宋_GB2312" w:cs="Droid Sans"/>
          <w:color w:val="auto"/>
          <w:sz w:val="32"/>
          <w:szCs w:val="32"/>
          <w:u w:val="none"/>
          <w:lang w:val="en-US" w:eastAsia="zh-CN"/>
        </w:rPr>
        <w:t>89</w:t>
      </w:r>
      <w:r>
        <w:rPr>
          <w:rFonts w:hint="eastAsia" w:ascii="仿宋_GB2312" w:eastAsia="仿宋_GB2312" w:cs="Droid Sans"/>
          <w:color w:val="auto"/>
          <w:sz w:val="32"/>
          <w:szCs w:val="32"/>
          <w:u w:val="none"/>
        </w:rPr>
        <w:t>万元</w:t>
      </w:r>
      <w:r>
        <w:rPr>
          <w:rFonts w:hint="eastAsia" w:ascii="仿宋_GB2312" w:eastAsia="仿宋_GB2312" w:cs="Droid Sans"/>
          <w:color w:val="auto"/>
          <w:sz w:val="32"/>
          <w:szCs w:val="32"/>
          <w:u w:val="none"/>
          <w:lang w:eastAsia="zh-CN"/>
        </w:rPr>
        <w:t>，</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2024年年初预算数</w:t>
      </w:r>
      <w:r>
        <w:rPr>
          <w:rFonts w:hint="eastAsia" w:ascii="仿宋_GB2312" w:eastAsia="仿宋_GB2312"/>
          <w:color w:val="auto"/>
          <w:sz w:val="32"/>
          <w:szCs w:val="32"/>
          <w:u w:val="none"/>
        </w:rPr>
        <w:t>6,835.82万元减少</w:t>
      </w:r>
      <w:r>
        <w:rPr>
          <w:rFonts w:hint="eastAsia" w:ascii="仿宋_GB2312" w:eastAsia="仿宋_GB2312"/>
          <w:color w:val="auto"/>
          <w:sz w:val="32"/>
          <w:szCs w:val="32"/>
          <w:u w:val="none"/>
          <w:lang w:val="en-US" w:eastAsia="zh-CN"/>
        </w:rPr>
        <w:t>386.93</w:t>
      </w:r>
      <w:r>
        <w:rPr>
          <w:rFonts w:hint="eastAsia" w:ascii="仿宋_GB2312" w:eastAsia="仿宋_GB2312"/>
          <w:color w:val="auto"/>
          <w:sz w:val="32"/>
          <w:szCs w:val="32"/>
          <w:u w:val="none"/>
        </w:rPr>
        <w:t>万元，下降</w:t>
      </w:r>
      <w:r>
        <w:rPr>
          <w:rFonts w:hint="eastAsia" w:ascii="仿宋_GB2312" w:eastAsia="仿宋_GB2312"/>
          <w:color w:val="auto"/>
          <w:sz w:val="32"/>
          <w:szCs w:val="32"/>
          <w:u w:val="none"/>
          <w:lang w:val="en-US" w:eastAsia="zh-CN"/>
        </w:rPr>
        <w:t>5</w:t>
      </w:r>
      <w:r>
        <w:rPr>
          <w:rFonts w:hint="eastAsia" w:ascii="仿宋_GB2312" w:eastAsia="仿宋_GB2312"/>
          <w:color w:val="auto"/>
          <w:sz w:val="32"/>
          <w:szCs w:val="32"/>
          <w:u w:val="none"/>
        </w:rPr>
        <w:t>.</w:t>
      </w:r>
      <w:r>
        <w:rPr>
          <w:rFonts w:hint="eastAsia" w:ascii="仿宋_GB2312" w:eastAsia="仿宋_GB2312"/>
          <w:color w:val="auto"/>
          <w:sz w:val="32"/>
          <w:szCs w:val="32"/>
          <w:u w:val="none"/>
          <w:lang w:val="en-US" w:eastAsia="zh-CN"/>
        </w:rPr>
        <w:t>66</w:t>
      </w:r>
      <w:r>
        <w:rPr>
          <w:rFonts w:hint="eastAsia" w:ascii="仿宋_GB2312" w:eastAsia="仿宋_GB2312"/>
          <w:color w:val="auto"/>
          <w:sz w:val="32"/>
          <w:szCs w:val="32"/>
          <w:u w:val="none"/>
        </w:rPr>
        <w:t>%。</w:t>
      </w:r>
      <w:r>
        <w:rPr>
          <w:rFonts w:hint="eastAsia" w:ascii="仿宋_GB2312" w:eastAsia="仿宋_GB2312" w:cs="Droid Sans"/>
          <w:color w:val="auto"/>
          <w:sz w:val="32"/>
          <w:szCs w:val="32"/>
          <w:u w:val="none"/>
          <w:lang w:eastAsia="zh-CN"/>
        </w:rPr>
        <w:t>主要原因是</w:t>
      </w:r>
      <w:r>
        <w:rPr>
          <w:rFonts w:hint="eastAsia" w:ascii="仿宋_GB2312" w:eastAsia="仿宋_GB2312" w:cs="Droid Sans"/>
          <w:color w:val="auto"/>
          <w:sz w:val="32"/>
          <w:szCs w:val="32"/>
          <w:u w:val="none"/>
          <w:lang w:val="en-US" w:eastAsia="zh-CN"/>
        </w:rPr>
        <w:t>根据工作安排，减少机构运行、其他科技条件与服务支出等方面的经费预算。</w:t>
      </w:r>
    </w:p>
    <w:p w14:paraId="44918C9A">
      <w:pPr>
        <w:spacing w:line="560" w:lineRule="exact"/>
        <w:ind w:firstLine="640" w:firstLineChars="200"/>
        <w:rPr>
          <w:rFonts w:hint="eastAsia" w:ascii="楷体_GB2312" w:eastAsia="楷体_GB2312"/>
          <w:color w:val="auto"/>
          <w:sz w:val="32"/>
          <w:szCs w:val="32"/>
          <w:u w:val="none"/>
          <w:lang w:eastAsia="zh-CN"/>
        </w:rPr>
      </w:pPr>
      <w:r>
        <w:rPr>
          <w:rFonts w:hint="eastAsia" w:ascii="楷体_GB2312" w:eastAsia="楷体_GB2312"/>
          <w:color w:val="auto"/>
          <w:sz w:val="32"/>
          <w:szCs w:val="32"/>
          <w:u w:val="none"/>
        </w:rPr>
        <w:t>（一）</w:t>
      </w:r>
      <w:r>
        <w:rPr>
          <w:rFonts w:hint="eastAsia" w:ascii="楷体_GB2312" w:eastAsia="楷体_GB2312"/>
          <w:color w:val="auto"/>
          <w:sz w:val="32"/>
          <w:szCs w:val="32"/>
          <w:u w:val="none"/>
          <w:lang w:eastAsia="zh-CN"/>
        </w:rPr>
        <w:t>本年财政拨款收入</w:t>
      </w:r>
      <w:r>
        <w:rPr>
          <w:rFonts w:hint="eastAsia" w:ascii="仿宋_GB2312" w:eastAsia="仿宋_GB2312" w:cs="Droid Sans"/>
          <w:color w:val="auto"/>
          <w:sz w:val="32"/>
          <w:szCs w:val="32"/>
          <w:u w:val="none"/>
        </w:rPr>
        <w:t>6,292.44</w:t>
      </w:r>
      <w:r>
        <w:rPr>
          <w:rFonts w:hint="eastAsia" w:ascii="楷体_GB2312" w:eastAsia="楷体_GB2312"/>
          <w:color w:val="auto"/>
          <w:sz w:val="32"/>
          <w:szCs w:val="32"/>
          <w:u w:val="none"/>
          <w:lang w:eastAsia="zh-CN"/>
        </w:rPr>
        <w:t>万元</w:t>
      </w:r>
    </w:p>
    <w:p w14:paraId="1982A66C">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w:t>
      </w:r>
      <w:r>
        <w:rPr>
          <w:rFonts w:hint="eastAsia" w:ascii="仿宋_GB2312" w:eastAsia="仿宋_GB2312" w:cs="Droid Sans"/>
          <w:color w:val="auto"/>
          <w:sz w:val="32"/>
          <w:szCs w:val="32"/>
          <w:u w:val="none"/>
          <w:lang w:eastAsia="zh-CN"/>
        </w:rPr>
        <w:t>一般公共预算拨款收入</w:t>
      </w:r>
      <w:r>
        <w:rPr>
          <w:rFonts w:hint="eastAsia" w:ascii="仿宋_GB2312" w:eastAsia="仿宋_GB2312" w:cs="Droid Sans"/>
          <w:color w:val="auto"/>
          <w:sz w:val="32"/>
          <w:szCs w:val="32"/>
          <w:u w:val="none"/>
        </w:rPr>
        <w:t>6,292.44万元。</w:t>
      </w:r>
    </w:p>
    <w:p w14:paraId="28445C72">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2.政府性基金</w:t>
      </w:r>
      <w:r>
        <w:rPr>
          <w:rFonts w:hint="eastAsia" w:ascii="仿宋_GB2312" w:eastAsia="仿宋_GB2312" w:cs="Droid Sans"/>
          <w:color w:val="auto"/>
          <w:sz w:val="32"/>
          <w:szCs w:val="32"/>
          <w:u w:val="none"/>
          <w:lang w:eastAsia="zh-CN"/>
        </w:rPr>
        <w:t>预算拨款收入</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14:paraId="574E04D1">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3.国有资本经营</w:t>
      </w:r>
      <w:r>
        <w:rPr>
          <w:rFonts w:hint="eastAsia" w:ascii="仿宋_GB2312" w:eastAsia="仿宋_GB2312" w:cs="Droid Sans"/>
          <w:color w:val="auto"/>
          <w:sz w:val="32"/>
          <w:szCs w:val="32"/>
          <w:u w:val="none"/>
          <w:lang w:eastAsia="zh-CN"/>
        </w:rPr>
        <w:t>预算拨款收入</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14:paraId="62AB2333">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二</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本年其他资金</w:t>
      </w:r>
      <w:r>
        <w:rPr>
          <w:rFonts w:hint="eastAsia" w:ascii="楷体_GB2312" w:eastAsia="楷体_GB2312" w:cs="Droid Sans"/>
          <w:color w:val="auto"/>
          <w:sz w:val="32"/>
          <w:szCs w:val="32"/>
          <w:u w:val="none"/>
          <w:lang w:eastAsia="zh-CN"/>
        </w:rPr>
        <w:t>收入</w:t>
      </w:r>
      <w:r>
        <w:rPr>
          <w:rFonts w:hint="eastAsia" w:ascii="楷体_GB2312" w:eastAsia="楷体_GB2312" w:cs="Droid Sans"/>
          <w:color w:val="auto"/>
          <w:sz w:val="32"/>
          <w:szCs w:val="32"/>
          <w:u w:val="none"/>
          <w:lang w:val="en-US" w:eastAsia="zh-CN"/>
        </w:rPr>
        <w:t>0.00</w:t>
      </w:r>
      <w:r>
        <w:rPr>
          <w:rFonts w:hint="eastAsia" w:ascii="楷体_GB2312" w:eastAsia="楷体_GB2312" w:cs="Droid Sans"/>
          <w:color w:val="auto"/>
          <w:sz w:val="32"/>
          <w:szCs w:val="32"/>
          <w:u w:val="none"/>
          <w:lang w:eastAsia="zh-CN"/>
        </w:rPr>
        <w:t>万元</w:t>
      </w:r>
    </w:p>
    <w:p w14:paraId="7F46F205">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4.财政专户管理资金收入0.00</w:t>
      </w:r>
      <w:r>
        <w:rPr>
          <w:rFonts w:hint="eastAsia" w:ascii="仿宋_GB2312" w:eastAsia="仿宋_GB2312" w:cs="Droid Sans"/>
          <w:color w:val="auto"/>
          <w:sz w:val="32"/>
          <w:szCs w:val="32"/>
          <w:u w:val="none"/>
        </w:rPr>
        <w:t>万元。</w:t>
      </w:r>
    </w:p>
    <w:p w14:paraId="39813452">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5.事业收入0.00</w:t>
      </w:r>
      <w:r>
        <w:rPr>
          <w:rFonts w:hint="eastAsia" w:ascii="仿宋_GB2312" w:eastAsia="仿宋_GB2312" w:cs="Droid Sans"/>
          <w:color w:val="auto"/>
          <w:sz w:val="32"/>
          <w:szCs w:val="32"/>
          <w:u w:val="none"/>
        </w:rPr>
        <w:t>万元。</w:t>
      </w:r>
    </w:p>
    <w:p w14:paraId="372A158C">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6.上级补助收入0.00</w:t>
      </w:r>
      <w:r>
        <w:rPr>
          <w:rFonts w:hint="eastAsia" w:ascii="仿宋_GB2312" w:eastAsia="仿宋_GB2312" w:cs="Droid Sans"/>
          <w:color w:val="auto"/>
          <w:sz w:val="32"/>
          <w:szCs w:val="32"/>
          <w:u w:val="none"/>
        </w:rPr>
        <w:t>万元。</w:t>
      </w:r>
    </w:p>
    <w:p w14:paraId="46549A7B">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7.附属单位上缴收入0.00</w:t>
      </w:r>
      <w:r>
        <w:rPr>
          <w:rFonts w:hint="eastAsia" w:ascii="仿宋_GB2312" w:eastAsia="仿宋_GB2312" w:cs="Droid Sans"/>
          <w:color w:val="auto"/>
          <w:sz w:val="32"/>
          <w:szCs w:val="32"/>
          <w:u w:val="none"/>
        </w:rPr>
        <w:t>万元。</w:t>
      </w:r>
    </w:p>
    <w:p w14:paraId="07584343">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8.事业单位经营收入0.00</w:t>
      </w:r>
      <w:r>
        <w:rPr>
          <w:rFonts w:hint="eastAsia" w:ascii="仿宋_GB2312" w:eastAsia="仿宋_GB2312" w:cs="Droid Sans"/>
          <w:color w:val="auto"/>
          <w:sz w:val="32"/>
          <w:szCs w:val="32"/>
          <w:u w:val="none"/>
        </w:rPr>
        <w:t>万元。</w:t>
      </w:r>
    </w:p>
    <w:p w14:paraId="20EF2C6C">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9.其他收入0.00</w:t>
      </w:r>
      <w:r>
        <w:rPr>
          <w:rFonts w:hint="eastAsia" w:ascii="仿宋_GB2312" w:eastAsia="仿宋_GB2312" w:cs="Droid Sans"/>
          <w:color w:val="auto"/>
          <w:sz w:val="32"/>
          <w:szCs w:val="32"/>
          <w:u w:val="none"/>
        </w:rPr>
        <w:t>万元。</w:t>
      </w:r>
    </w:p>
    <w:p w14:paraId="192151CA">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三</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上年结转结余</w:t>
      </w:r>
      <w:r>
        <w:rPr>
          <w:rFonts w:hint="eastAsia" w:ascii="楷体_GB2312" w:eastAsia="楷体_GB2312" w:cs="Droid Sans"/>
          <w:color w:val="auto"/>
          <w:sz w:val="32"/>
          <w:szCs w:val="32"/>
          <w:u w:val="none"/>
          <w:lang w:val="en-US" w:eastAsia="zh-CN"/>
        </w:rPr>
        <w:t>156.45</w:t>
      </w:r>
      <w:r>
        <w:rPr>
          <w:rFonts w:hint="eastAsia" w:ascii="楷体_GB2312" w:eastAsia="楷体_GB2312" w:cs="Droid Sans"/>
          <w:color w:val="auto"/>
          <w:sz w:val="32"/>
          <w:szCs w:val="32"/>
          <w:u w:val="none"/>
          <w:lang w:eastAsia="zh-CN"/>
        </w:rPr>
        <w:t>万元</w:t>
      </w:r>
    </w:p>
    <w:p w14:paraId="4F16FE39">
      <w:pPr>
        <w:spacing w:line="560" w:lineRule="exact"/>
        <w:ind w:firstLine="640" w:firstLineChars="200"/>
        <w:rPr>
          <w:rFonts w:hint="eastAsia"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10.上年结转结余156.45</w:t>
      </w:r>
      <w:r>
        <w:rPr>
          <w:rFonts w:hint="eastAsia" w:ascii="仿宋_GB2312" w:eastAsia="仿宋_GB2312" w:cs="Droid Sans"/>
          <w:color w:val="auto"/>
          <w:sz w:val="32"/>
          <w:szCs w:val="32"/>
          <w:u w:val="none"/>
        </w:rPr>
        <w:t>万元。</w:t>
      </w:r>
    </w:p>
    <w:p w14:paraId="720C7B31">
      <w:pPr>
        <w:keepNext w:val="0"/>
        <w:keepLines w:val="0"/>
        <w:pageBreakBefore w:val="0"/>
        <w:widowControl w:val="0"/>
        <w:kinsoku/>
        <w:wordWrap/>
        <w:overflowPunct/>
        <w:topLinePunct w:val="0"/>
        <w:autoSpaceDE/>
        <w:autoSpaceDN/>
        <w:bidi w:val="0"/>
        <w:adjustRightInd/>
        <w:snapToGrid/>
        <w:spacing w:line="560" w:lineRule="exact"/>
        <w:ind w:firstLine="420" w:firstLineChars="200"/>
        <w:jc w:val="center"/>
        <w:textAlignment w:val="auto"/>
        <w:rPr>
          <w:rFonts w:hint="eastAsia" w:eastAsia="宋体"/>
          <w:lang w:eastAsia="zh-CN"/>
        </w:rPr>
      </w:pPr>
      <w:r>
        <w:rPr>
          <w:rFonts w:hint="eastAsia" w:eastAsia="宋体"/>
          <w:lang w:eastAsia="zh-CN"/>
        </w:rPr>
        <w:drawing>
          <wp:anchor distT="0" distB="0" distL="114300" distR="114300" simplePos="0" relativeHeight="251659264" behindDoc="0" locked="0" layoutInCell="1" allowOverlap="1">
            <wp:simplePos x="0" y="0"/>
            <wp:positionH relativeFrom="column">
              <wp:posOffset>276225</wp:posOffset>
            </wp:positionH>
            <wp:positionV relativeFrom="paragraph">
              <wp:posOffset>70485</wp:posOffset>
            </wp:positionV>
            <wp:extent cx="4157980" cy="2519680"/>
            <wp:effectExtent l="0" t="0" r="7620" b="7620"/>
            <wp:wrapTopAndBottom/>
            <wp:docPr id="2" name="图片 2"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2"/>
                    <pic:cNvPicPr>
                      <a:picLocks noChangeAspect="1"/>
                    </pic:cNvPicPr>
                  </pic:nvPicPr>
                  <pic:blipFill>
                    <a:blip r:embed="rId5"/>
                    <a:stretch>
                      <a:fillRect/>
                    </a:stretch>
                  </pic:blipFill>
                  <pic:spPr>
                    <a:xfrm>
                      <a:off x="0" y="0"/>
                      <a:ext cx="4157980" cy="2519680"/>
                    </a:xfrm>
                    <a:prstGeom prst="rect">
                      <a:avLst/>
                    </a:prstGeom>
                  </pic:spPr>
                </pic:pic>
              </a:graphicData>
            </a:graphic>
          </wp:anchor>
        </w:drawing>
      </w:r>
    </w:p>
    <w:p w14:paraId="2E0FA4B9">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center"/>
        <w:textAlignment w:val="auto"/>
        <w:rPr>
          <w:rFonts w:hint="eastAsia" w:ascii="仿宋_GB2312" w:eastAsia="仿宋_GB2312"/>
          <w:b w:val="0"/>
          <w:bCs w:val="0"/>
          <w:color w:val="auto"/>
          <w:sz w:val="32"/>
          <w:szCs w:val="32"/>
          <w:u w:val="none"/>
          <w:lang w:val="en-US" w:eastAsia="zh-CN"/>
        </w:rPr>
      </w:pPr>
      <w:r>
        <w:rPr>
          <w:rFonts w:hint="eastAsia" w:ascii="仿宋_GB2312" w:eastAsia="仿宋_GB2312"/>
          <w:b/>
          <w:bCs/>
          <w:color w:val="auto"/>
          <w:sz w:val="32"/>
          <w:szCs w:val="32"/>
          <w:u w:val="none"/>
          <w:lang w:val="en-US" w:eastAsia="zh-CN"/>
        </w:rPr>
        <w:t>图1：收入预算</w:t>
      </w:r>
    </w:p>
    <w:p w14:paraId="129A7354">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textAlignment w:val="auto"/>
        <w:rPr>
          <w:rFonts w:hint="eastAsia" w:ascii="黑体" w:eastAsia="黑体" w:cs="Droid Sans"/>
          <w:color w:val="auto"/>
          <w:sz w:val="32"/>
          <w:szCs w:val="32"/>
          <w:u w:val="none"/>
          <w:lang w:eastAsia="zh-CN"/>
        </w:rPr>
      </w:pPr>
    </w:p>
    <w:p w14:paraId="5721869F">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textAlignment w:val="auto"/>
        <w:rPr>
          <w:rFonts w:hint="eastAsia" w:ascii="黑体" w:eastAsia="黑体" w:cs="Droid Sans"/>
          <w:color w:val="auto"/>
          <w:sz w:val="32"/>
          <w:szCs w:val="32"/>
          <w:u w:val="none"/>
        </w:rPr>
      </w:pPr>
      <w:r>
        <w:rPr>
          <w:rFonts w:hint="eastAsia" w:ascii="黑体" w:eastAsia="黑体" w:cs="Droid Sans"/>
          <w:color w:val="auto"/>
          <w:sz w:val="32"/>
          <w:szCs w:val="32"/>
          <w:u w:val="none"/>
          <w:lang w:eastAsia="zh-CN"/>
        </w:rPr>
        <w:t>三、</w:t>
      </w:r>
      <w:r>
        <w:rPr>
          <w:rFonts w:hint="eastAsia" w:ascii="黑体" w:eastAsia="黑体" w:cs="Droid Sans"/>
          <w:color w:val="auto"/>
          <w:sz w:val="32"/>
          <w:szCs w:val="32"/>
          <w:u w:val="none"/>
        </w:rPr>
        <w:t>支出</w:t>
      </w:r>
      <w:r>
        <w:rPr>
          <w:rFonts w:hint="eastAsia" w:ascii="黑体" w:eastAsia="黑体" w:cs="Droid Sans"/>
          <w:color w:val="auto"/>
          <w:sz w:val="32"/>
          <w:szCs w:val="32"/>
          <w:u w:val="none"/>
          <w:lang w:eastAsia="zh-CN"/>
        </w:rPr>
        <w:t>预算</w:t>
      </w:r>
      <w:r>
        <w:rPr>
          <w:rFonts w:hint="eastAsia" w:ascii="黑体" w:eastAsia="黑体" w:cs="Droid Sans"/>
          <w:color w:val="auto"/>
          <w:sz w:val="32"/>
          <w:szCs w:val="32"/>
          <w:u w:val="none"/>
        </w:rPr>
        <w:t>情况说明</w:t>
      </w:r>
    </w:p>
    <w:p w14:paraId="0B39F45E">
      <w:pPr>
        <w:spacing w:line="560" w:lineRule="exact"/>
        <w:ind w:firstLine="640"/>
        <w:rPr>
          <w:rFonts w:hint="eastAsia" w:ascii="仿宋_GB2312" w:eastAsia="仿宋_GB2312"/>
          <w:color w:val="auto"/>
          <w:sz w:val="32"/>
          <w:szCs w:val="32"/>
          <w:u w:val="none"/>
          <w:lang w:val="en-US" w:eastAsia="zh-CN"/>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支出预算6,</w:t>
      </w:r>
      <w:r>
        <w:rPr>
          <w:rFonts w:hint="eastAsia" w:ascii="仿宋_GB2312" w:eastAsia="仿宋_GB2312"/>
          <w:color w:val="auto"/>
          <w:sz w:val="32"/>
          <w:szCs w:val="32"/>
          <w:u w:val="none"/>
          <w:lang w:val="en-US" w:eastAsia="zh-CN"/>
        </w:rPr>
        <w:t>448</w:t>
      </w:r>
      <w:r>
        <w:rPr>
          <w:rFonts w:hint="eastAsia" w:ascii="仿宋_GB2312" w:eastAsia="仿宋_GB2312"/>
          <w:color w:val="auto"/>
          <w:sz w:val="32"/>
          <w:szCs w:val="32"/>
          <w:u w:val="none"/>
        </w:rPr>
        <w:t>.</w:t>
      </w:r>
      <w:r>
        <w:rPr>
          <w:rFonts w:hint="eastAsia" w:ascii="仿宋_GB2312" w:eastAsia="仿宋_GB2312"/>
          <w:color w:val="auto"/>
          <w:sz w:val="32"/>
          <w:szCs w:val="32"/>
          <w:u w:val="none"/>
          <w:lang w:val="en-US" w:eastAsia="zh-CN"/>
        </w:rPr>
        <w:t>89</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2024年年初预算数</w:t>
      </w:r>
      <w:r>
        <w:rPr>
          <w:rFonts w:hint="eastAsia" w:ascii="仿宋_GB2312" w:eastAsia="仿宋_GB2312"/>
          <w:color w:val="auto"/>
          <w:sz w:val="32"/>
          <w:szCs w:val="32"/>
          <w:u w:val="none"/>
        </w:rPr>
        <w:t>6,835.82万元减少</w:t>
      </w:r>
      <w:r>
        <w:rPr>
          <w:rFonts w:hint="eastAsia" w:ascii="仿宋_GB2312" w:eastAsia="仿宋_GB2312"/>
          <w:color w:val="auto"/>
          <w:sz w:val="32"/>
          <w:szCs w:val="32"/>
          <w:u w:val="none"/>
          <w:lang w:val="en-US" w:eastAsia="zh-CN"/>
        </w:rPr>
        <w:t>386.93</w:t>
      </w:r>
      <w:r>
        <w:rPr>
          <w:rFonts w:hint="eastAsia" w:ascii="仿宋_GB2312" w:eastAsia="仿宋_GB2312"/>
          <w:color w:val="auto"/>
          <w:sz w:val="32"/>
          <w:szCs w:val="32"/>
          <w:u w:val="none"/>
        </w:rPr>
        <w:t>万元，下降</w:t>
      </w:r>
      <w:r>
        <w:rPr>
          <w:rFonts w:hint="eastAsia" w:ascii="仿宋_GB2312" w:eastAsia="仿宋_GB2312"/>
          <w:color w:val="auto"/>
          <w:sz w:val="32"/>
          <w:szCs w:val="32"/>
          <w:u w:val="none"/>
          <w:lang w:val="en-US" w:eastAsia="zh-CN"/>
        </w:rPr>
        <w:t>5</w:t>
      </w:r>
      <w:r>
        <w:rPr>
          <w:rFonts w:hint="eastAsia" w:ascii="仿宋_GB2312" w:eastAsia="仿宋_GB2312"/>
          <w:color w:val="auto"/>
          <w:sz w:val="32"/>
          <w:szCs w:val="32"/>
          <w:u w:val="none"/>
        </w:rPr>
        <w:t>.</w:t>
      </w:r>
      <w:r>
        <w:rPr>
          <w:rFonts w:hint="eastAsia" w:ascii="仿宋_GB2312" w:eastAsia="仿宋_GB2312"/>
          <w:color w:val="auto"/>
          <w:sz w:val="32"/>
          <w:szCs w:val="32"/>
          <w:u w:val="none"/>
          <w:lang w:val="en-US" w:eastAsia="zh-CN"/>
        </w:rPr>
        <w:t>66</w:t>
      </w:r>
      <w:r>
        <w:rPr>
          <w:rFonts w:hint="eastAsia" w:ascii="仿宋_GB2312" w:eastAsia="仿宋_GB2312"/>
          <w:color w:val="auto"/>
          <w:sz w:val="32"/>
          <w:szCs w:val="32"/>
          <w:u w:val="none"/>
        </w:rPr>
        <w:t>%。主要原因是</w:t>
      </w:r>
      <w:r>
        <w:rPr>
          <w:rFonts w:hint="eastAsia" w:ascii="仿宋_GB2312" w:eastAsia="仿宋_GB2312"/>
          <w:color w:val="auto"/>
          <w:sz w:val="32"/>
          <w:szCs w:val="32"/>
          <w:u w:val="none"/>
          <w:lang w:eastAsia="zh-CN"/>
        </w:rPr>
        <w:t>：（</w:t>
      </w:r>
      <w:r>
        <w:rPr>
          <w:rFonts w:hint="eastAsia" w:ascii="仿宋_GB2312" w:eastAsia="仿宋_GB2312"/>
          <w:color w:val="auto"/>
          <w:sz w:val="32"/>
          <w:szCs w:val="32"/>
          <w:u w:val="none"/>
          <w:lang w:val="en-US" w:eastAsia="zh-CN"/>
        </w:rPr>
        <w:t>1</w:t>
      </w:r>
      <w:r>
        <w:rPr>
          <w:rFonts w:hint="eastAsia" w:ascii="仿宋_GB2312" w:eastAsia="仿宋_GB2312"/>
          <w:color w:val="auto"/>
          <w:sz w:val="32"/>
          <w:szCs w:val="32"/>
          <w:u w:val="none"/>
          <w:lang w:eastAsia="zh-CN"/>
        </w:rPr>
        <w:t>）</w:t>
      </w:r>
      <w:r>
        <w:rPr>
          <w:rFonts w:hint="eastAsia" w:ascii="仿宋_GB2312" w:eastAsia="仿宋_GB2312"/>
          <w:color w:val="auto"/>
          <w:sz w:val="32"/>
          <w:szCs w:val="32"/>
          <w:u w:val="none"/>
          <w:lang w:val="en-US" w:eastAsia="zh-CN"/>
        </w:rPr>
        <w:t>人员减少导致人员经费预算下降。（2）</w:t>
      </w:r>
      <w:r>
        <w:rPr>
          <w:rFonts w:hint="eastAsia" w:ascii="仿宋_GB2312" w:eastAsia="仿宋_GB2312"/>
          <w:color w:val="auto"/>
          <w:sz w:val="32"/>
          <w:szCs w:val="32"/>
          <w:u w:val="none"/>
          <w:lang w:eastAsia="zh-CN"/>
        </w:rPr>
        <w:t>根据工作安排，减少</w:t>
      </w:r>
      <w:r>
        <w:rPr>
          <w:rFonts w:hint="eastAsia" w:ascii="仿宋_GB2312" w:eastAsia="仿宋_GB2312"/>
          <w:color w:val="auto"/>
          <w:sz w:val="32"/>
          <w:szCs w:val="32"/>
          <w:u w:val="none"/>
          <w:lang w:val="en-US" w:eastAsia="zh-CN"/>
        </w:rPr>
        <w:t>本年首都科技志愿服务等项目经费预算。</w:t>
      </w:r>
    </w:p>
    <w:p w14:paraId="236F7D27">
      <w:pPr>
        <w:spacing w:line="560" w:lineRule="exact"/>
        <w:ind w:firstLine="64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highlight w:val="none"/>
          <w:u w:val="none"/>
          <w:lang w:val="en-US" w:eastAsia="zh-CN"/>
        </w:rPr>
        <w:t>（一）</w:t>
      </w:r>
      <w:r>
        <w:rPr>
          <w:rFonts w:hint="eastAsia" w:ascii="楷体_GB2312" w:hAnsi="楷体_GB2312" w:eastAsia="楷体_GB2312" w:cs="楷体_GB2312"/>
          <w:color w:val="auto"/>
          <w:sz w:val="32"/>
          <w:szCs w:val="32"/>
          <w:highlight w:val="none"/>
          <w:u w:val="none"/>
        </w:rPr>
        <w:t>基本</w:t>
      </w:r>
      <w:r>
        <w:rPr>
          <w:rFonts w:hint="eastAsia" w:ascii="楷体_GB2312" w:hAnsi="楷体_GB2312" w:eastAsia="楷体_GB2312" w:cs="楷体_GB2312"/>
          <w:color w:val="auto"/>
          <w:sz w:val="32"/>
          <w:szCs w:val="32"/>
          <w:highlight w:val="none"/>
          <w:u w:val="none"/>
          <w:lang w:eastAsia="zh-CN"/>
        </w:rPr>
        <w:t>支出。</w:t>
      </w:r>
      <w:r>
        <w:rPr>
          <w:rFonts w:hint="eastAsia" w:ascii="仿宋_GB2312" w:eastAsia="仿宋_GB2312"/>
          <w:color w:val="auto"/>
          <w:sz w:val="32"/>
          <w:szCs w:val="32"/>
          <w:highlight w:val="none"/>
          <w:u w:val="none"/>
          <w:lang w:eastAsia="zh-CN"/>
        </w:rPr>
        <w:t>基本</w:t>
      </w:r>
      <w:r>
        <w:rPr>
          <w:rFonts w:hint="eastAsia" w:ascii="仿宋_GB2312" w:eastAsia="仿宋_GB2312"/>
          <w:color w:val="auto"/>
          <w:sz w:val="32"/>
          <w:szCs w:val="32"/>
          <w:highlight w:val="none"/>
          <w:u w:val="none"/>
        </w:rPr>
        <w:t>支出预算</w:t>
      </w:r>
      <w:r>
        <w:rPr>
          <w:rFonts w:hint="eastAsia" w:ascii="仿宋_GB2312" w:eastAsia="仿宋_GB2312"/>
          <w:color w:val="auto"/>
          <w:sz w:val="32"/>
          <w:szCs w:val="32"/>
          <w:highlight w:val="none"/>
          <w:u w:val="none"/>
          <w:lang w:val="en-US" w:eastAsia="zh-CN"/>
        </w:rPr>
        <w:t>4,594.13</w:t>
      </w:r>
      <w:r>
        <w:rPr>
          <w:rFonts w:hint="eastAsia" w:ascii="仿宋_GB2312" w:eastAsia="仿宋_GB2312"/>
          <w:color w:val="auto"/>
          <w:sz w:val="32"/>
          <w:szCs w:val="32"/>
          <w:highlight w:val="none"/>
          <w:u w:val="none"/>
        </w:rPr>
        <w:t>万元，占</w:t>
      </w:r>
      <w:r>
        <w:rPr>
          <w:rFonts w:hint="eastAsia" w:ascii="仿宋_GB2312" w:eastAsia="仿宋_GB2312"/>
          <w:color w:val="auto"/>
          <w:sz w:val="32"/>
          <w:szCs w:val="32"/>
          <w:highlight w:val="none"/>
          <w:u w:val="none"/>
          <w:lang w:eastAsia="zh-CN"/>
        </w:rPr>
        <w:t>本年</w:t>
      </w:r>
      <w:r>
        <w:rPr>
          <w:rFonts w:hint="eastAsia" w:ascii="仿宋_GB2312" w:eastAsia="仿宋_GB2312"/>
          <w:color w:val="auto"/>
          <w:sz w:val="32"/>
          <w:szCs w:val="32"/>
          <w:highlight w:val="none"/>
          <w:u w:val="none"/>
        </w:rPr>
        <w:t>支出预算</w:t>
      </w:r>
      <w:r>
        <w:rPr>
          <w:rFonts w:hint="eastAsia" w:ascii="仿宋_GB2312" w:eastAsia="仿宋_GB2312"/>
          <w:color w:val="auto"/>
          <w:sz w:val="32"/>
          <w:szCs w:val="32"/>
          <w:highlight w:val="none"/>
          <w:u w:val="none"/>
          <w:lang w:val="en-US" w:eastAsia="zh-CN"/>
        </w:rPr>
        <w:t>71.24</w:t>
      </w:r>
      <w:r>
        <w:rPr>
          <w:rFonts w:hint="eastAsia" w:ascii="仿宋_GB2312" w:eastAsia="仿宋_GB2312"/>
          <w:color w:val="auto"/>
          <w:sz w:val="32"/>
          <w:szCs w:val="32"/>
          <w:highlight w:val="none"/>
          <w:u w:val="none"/>
        </w:rPr>
        <w:t>%，</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2024年年初预算数</w:t>
      </w:r>
      <w:r>
        <w:rPr>
          <w:rFonts w:hint="eastAsia" w:ascii="仿宋_GB2312" w:eastAsia="仿宋_GB2312"/>
          <w:color w:val="auto"/>
          <w:sz w:val="32"/>
          <w:szCs w:val="32"/>
          <w:u w:val="none"/>
        </w:rPr>
        <w:t>5,302.51万元减少</w:t>
      </w:r>
      <w:r>
        <w:rPr>
          <w:rFonts w:hint="eastAsia" w:ascii="仿宋_GB2312" w:eastAsia="仿宋_GB2312"/>
          <w:color w:val="auto"/>
          <w:sz w:val="32"/>
          <w:szCs w:val="32"/>
          <w:u w:val="none"/>
          <w:lang w:val="en-US" w:eastAsia="zh-CN"/>
        </w:rPr>
        <w:t>708.38</w:t>
      </w:r>
      <w:r>
        <w:rPr>
          <w:rFonts w:hint="eastAsia" w:ascii="仿宋_GB2312" w:eastAsia="仿宋_GB2312"/>
          <w:color w:val="auto"/>
          <w:sz w:val="32"/>
          <w:szCs w:val="32"/>
          <w:u w:val="none"/>
        </w:rPr>
        <w:t>万元，下降</w:t>
      </w:r>
      <w:r>
        <w:rPr>
          <w:rFonts w:hint="eastAsia" w:ascii="仿宋_GB2312" w:eastAsia="仿宋_GB2312"/>
          <w:color w:val="auto"/>
          <w:sz w:val="32"/>
          <w:szCs w:val="32"/>
          <w:u w:val="none"/>
          <w:lang w:val="en-US" w:eastAsia="zh-CN"/>
        </w:rPr>
        <w:t>13.36</w:t>
      </w:r>
      <w:r>
        <w:rPr>
          <w:rFonts w:hint="eastAsia" w:ascii="仿宋_GB2312" w:eastAsia="仿宋_GB2312"/>
          <w:color w:val="auto"/>
          <w:sz w:val="32"/>
          <w:szCs w:val="32"/>
          <w:u w:val="none"/>
        </w:rPr>
        <w:t>%。</w:t>
      </w:r>
    </w:p>
    <w:p w14:paraId="3681B0F1">
      <w:pPr>
        <w:spacing w:line="560" w:lineRule="exact"/>
        <w:ind w:firstLine="64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u w:val="none"/>
          <w:lang w:eastAsia="zh-CN"/>
        </w:rPr>
        <w:t>（二）项目支出。</w:t>
      </w:r>
      <w:r>
        <w:rPr>
          <w:rFonts w:hint="eastAsia" w:ascii="仿宋_GB2312" w:eastAsia="仿宋_GB2312"/>
          <w:color w:val="auto"/>
          <w:sz w:val="32"/>
          <w:szCs w:val="32"/>
          <w:u w:val="none"/>
        </w:rPr>
        <w:t>项目支出预算</w:t>
      </w:r>
      <w:r>
        <w:rPr>
          <w:rFonts w:hint="eastAsia" w:ascii="仿宋_GB2312" w:eastAsia="仿宋_GB2312"/>
          <w:color w:val="auto"/>
          <w:sz w:val="32"/>
          <w:szCs w:val="32"/>
          <w:u w:val="none"/>
          <w:lang w:val="en-US" w:eastAsia="zh-CN"/>
        </w:rPr>
        <w:t>1,854.76</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2024年年初预算数</w:t>
      </w:r>
      <w:r>
        <w:rPr>
          <w:rFonts w:hint="eastAsia" w:ascii="仿宋_GB2312" w:eastAsia="仿宋_GB2312"/>
          <w:color w:val="auto"/>
          <w:sz w:val="32"/>
          <w:szCs w:val="32"/>
          <w:u w:val="none"/>
        </w:rPr>
        <w:t>1,533.31万元增加</w:t>
      </w:r>
      <w:r>
        <w:rPr>
          <w:rFonts w:hint="eastAsia" w:ascii="仿宋_GB2312" w:eastAsia="仿宋_GB2312"/>
          <w:color w:val="auto"/>
          <w:sz w:val="32"/>
          <w:szCs w:val="32"/>
          <w:u w:val="none"/>
          <w:lang w:val="en-US" w:eastAsia="zh-CN"/>
        </w:rPr>
        <w:t>321.45</w:t>
      </w:r>
      <w:r>
        <w:rPr>
          <w:rFonts w:hint="eastAsia" w:ascii="仿宋_GB2312" w:eastAsia="仿宋_GB2312"/>
          <w:color w:val="auto"/>
          <w:sz w:val="32"/>
          <w:szCs w:val="32"/>
          <w:u w:val="none"/>
        </w:rPr>
        <w:t>万元，增长</w:t>
      </w:r>
      <w:r>
        <w:rPr>
          <w:rFonts w:hint="eastAsia" w:ascii="仿宋_GB2312" w:eastAsia="仿宋_GB2312"/>
          <w:color w:val="auto"/>
          <w:sz w:val="32"/>
          <w:szCs w:val="32"/>
          <w:u w:val="none"/>
          <w:lang w:val="en-US" w:eastAsia="zh-CN"/>
        </w:rPr>
        <w:t>20.96</w:t>
      </w:r>
      <w:r>
        <w:rPr>
          <w:rFonts w:hint="eastAsia" w:ascii="仿宋_GB2312" w:eastAsia="仿宋_GB2312"/>
          <w:color w:val="auto"/>
          <w:sz w:val="32"/>
          <w:szCs w:val="32"/>
          <w:u w:val="none"/>
        </w:rPr>
        <w:t>%。其中：</w:t>
      </w:r>
    </w:p>
    <w:p w14:paraId="10993317">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1.事业单位经营支出</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14:paraId="3CE97FA9">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2.上缴上级支出</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14:paraId="2FB9BE09">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3.对附属单位补助支出</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14:paraId="326DB21C">
      <w:pPr>
        <w:spacing w:line="560" w:lineRule="exact"/>
        <w:ind w:firstLine="640"/>
        <w:jc w:val="center"/>
        <w:rPr>
          <w:rFonts w:hint="eastAsia" w:ascii="仿宋_GB2312" w:hAnsi="仿宋_GB2312" w:eastAsia="仿宋_GB2312" w:cs="仿宋_GB2312"/>
          <w:b/>
          <w:bCs/>
          <w:color w:val="auto"/>
          <w:sz w:val="32"/>
          <w:szCs w:val="32"/>
          <w:highlight w:val="none"/>
          <w:u w:val="none"/>
          <w:lang w:val="en-US" w:eastAsia="zh-CN"/>
        </w:rPr>
      </w:pPr>
      <w:r>
        <w:rPr>
          <w:rFonts w:hint="eastAsia" w:ascii="仿宋_GB2312" w:hAnsi="仿宋_GB2312" w:eastAsia="仿宋_GB2312" w:cs="仿宋_GB2312"/>
          <w:b/>
          <w:bCs/>
          <w:color w:val="auto"/>
          <w:sz w:val="32"/>
          <w:szCs w:val="32"/>
          <w:highlight w:val="none"/>
          <w:u w:val="none"/>
          <w:lang w:val="en-US" w:eastAsia="zh-CN"/>
        </w:rPr>
        <w:drawing>
          <wp:anchor distT="0" distB="0" distL="114300" distR="114300" simplePos="0" relativeHeight="251660288" behindDoc="0" locked="0" layoutInCell="1" allowOverlap="1">
            <wp:simplePos x="0" y="0"/>
            <wp:positionH relativeFrom="column">
              <wp:posOffset>421640</wp:posOffset>
            </wp:positionH>
            <wp:positionV relativeFrom="paragraph">
              <wp:posOffset>66675</wp:posOffset>
            </wp:positionV>
            <wp:extent cx="4539615" cy="2519680"/>
            <wp:effectExtent l="0" t="0" r="6985" b="7620"/>
            <wp:wrapTopAndBottom/>
            <wp:docPr id="3" name="图片 3" descr="图片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片3"/>
                    <pic:cNvPicPr>
                      <a:picLocks noChangeAspect="1"/>
                    </pic:cNvPicPr>
                  </pic:nvPicPr>
                  <pic:blipFill>
                    <a:blip r:embed="rId6"/>
                    <a:stretch>
                      <a:fillRect/>
                    </a:stretch>
                  </pic:blipFill>
                  <pic:spPr>
                    <a:xfrm>
                      <a:off x="0" y="0"/>
                      <a:ext cx="4539615" cy="2519680"/>
                    </a:xfrm>
                    <a:prstGeom prst="rect">
                      <a:avLst/>
                    </a:prstGeom>
                  </pic:spPr>
                </pic:pic>
              </a:graphicData>
            </a:graphic>
          </wp:anchor>
        </w:drawing>
      </w:r>
    </w:p>
    <w:p w14:paraId="7711499A">
      <w:pPr>
        <w:spacing w:line="560" w:lineRule="exact"/>
        <w:ind w:firstLine="640"/>
        <w:jc w:val="center"/>
        <w:rPr>
          <w:rFonts w:hint="eastAsia" w:ascii="仿宋_GB2312" w:hAnsi="仿宋_GB2312" w:eastAsia="仿宋_GB2312" w:cs="仿宋_GB2312"/>
          <w:b/>
          <w:bCs/>
          <w:color w:val="auto"/>
          <w:sz w:val="32"/>
          <w:highlight w:val="none"/>
          <w:u w:val="none"/>
          <w:lang w:eastAsia="zh-CN"/>
        </w:rPr>
      </w:pPr>
      <w:r>
        <w:rPr>
          <w:rFonts w:hint="eastAsia" w:ascii="仿宋_GB2312" w:hAnsi="仿宋_GB2312" w:eastAsia="仿宋_GB2312" w:cs="仿宋_GB2312"/>
          <w:b/>
          <w:bCs/>
          <w:color w:val="auto"/>
          <w:sz w:val="32"/>
          <w:szCs w:val="32"/>
          <w:highlight w:val="none"/>
          <w:u w:val="none"/>
          <w:lang w:val="en-US" w:eastAsia="zh-CN"/>
        </w:rPr>
        <w:t>图2：基本支出和项目支出情况</w:t>
      </w:r>
    </w:p>
    <w:p w14:paraId="65DCC9A6">
      <w:pPr>
        <w:numPr>
          <w:ilvl w:val="0"/>
          <w:numId w:val="2"/>
        </w:numPr>
        <w:spacing w:line="560" w:lineRule="exact"/>
        <w:ind w:firstLine="640" w:firstLineChars="200"/>
        <w:rPr>
          <w:rFonts w:hint="eastAsia" w:ascii="楷体_GB2312" w:hAnsi="楷体_GB2312" w:eastAsia="楷体_GB2312" w:cs="楷体_GB2312"/>
          <w:color w:val="000000"/>
          <w:sz w:val="32"/>
          <w:szCs w:val="32"/>
          <w:highlight w:val="none"/>
          <w:u w:val="none"/>
          <w:lang w:eastAsia="zh-CN"/>
        </w:rPr>
      </w:pPr>
      <w:r>
        <w:rPr>
          <w:rFonts w:hint="eastAsia" w:ascii="楷体_GB2312" w:hAnsi="楷体_GB2312" w:eastAsia="楷体_GB2312" w:cs="楷体_GB2312"/>
          <w:color w:val="000000"/>
          <w:sz w:val="32"/>
          <w:szCs w:val="32"/>
          <w:highlight w:val="none"/>
          <w:u w:val="none"/>
          <w:lang w:eastAsia="zh-CN"/>
        </w:rPr>
        <w:t>年终结转结余资金</w:t>
      </w:r>
      <w:r>
        <w:rPr>
          <w:rFonts w:hint="eastAsia" w:ascii="楷体_GB2312" w:hAnsi="楷体_GB2312" w:eastAsia="楷体_GB2312" w:cs="楷体_GB2312"/>
          <w:color w:val="000000"/>
          <w:sz w:val="32"/>
          <w:szCs w:val="32"/>
          <w:highlight w:val="none"/>
          <w:u w:val="none"/>
          <w:lang w:val="en-US" w:eastAsia="zh-CN"/>
        </w:rPr>
        <w:t>0.00</w:t>
      </w:r>
      <w:r>
        <w:rPr>
          <w:rFonts w:hint="eastAsia" w:ascii="楷体_GB2312" w:hAnsi="楷体_GB2312" w:eastAsia="楷体_GB2312" w:cs="楷体_GB2312"/>
          <w:color w:val="000000"/>
          <w:sz w:val="32"/>
          <w:szCs w:val="32"/>
          <w:highlight w:val="none"/>
          <w:u w:val="none"/>
          <w:lang w:eastAsia="zh-CN"/>
        </w:rPr>
        <w:t>万元。</w:t>
      </w:r>
    </w:p>
    <w:p w14:paraId="159ECE51">
      <w:pPr>
        <w:spacing w:line="560" w:lineRule="exact"/>
        <w:ind w:firstLine="640" w:firstLineChars="200"/>
        <w:rPr>
          <w:rFonts w:hint="eastAsia" w:ascii="楷体_GB2312" w:eastAsia="楷体_GB2312" w:cs="楷体_GB2312"/>
          <w:color w:val="auto"/>
          <w:sz w:val="32"/>
          <w:szCs w:val="32"/>
          <w:u w:val="none"/>
        </w:rPr>
      </w:pPr>
      <w:r>
        <w:rPr>
          <w:rFonts w:hint="eastAsia" w:ascii="黑体" w:eastAsia="黑体"/>
          <w:color w:val="auto"/>
          <w:sz w:val="32"/>
          <w:szCs w:val="32"/>
          <w:u w:val="none"/>
          <w:lang w:eastAsia="zh-CN"/>
        </w:rPr>
        <w:t>四</w:t>
      </w:r>
      <w:r>
        <w:rPr>
          <w:rFonts w:hint="eastAsia" w:ascii="黑体" w:eastAsia="黑体"/>
          <w:color w:val="auto"/>
          <w:sz w:val="32"/>
          <w:szCs w:val="32"/>
          <w:u w:val="none"/>
        </w:rPr>
        <w:t>、财政拨款“三公”经费预算</w:t>
      </w:r>
      <w:r>
        <w:rPr>
          <w:rFonts w:hint="eastAsia" w:ascii="黑体" w:eastAsia="黑体"/>
          <w:color w:val="auto"/>
          <w:sz w:val="32"/>
          <w:szCs w:val="32"/>
          <w:u w:val="none"/>
          <w:lang w:eastAsia="zh-CN"/>
        </w:rPr>
        <w:t>情况</w:t>
      </w:r>
      <w:r>
        <w:rPr>
          <w:rFonts w:hint="eastAsia" w:ascii="黑体" w:eastAsia="黑体"/>
          <w:color w:val="auto"/>
          <w:sz w:val="32"/>
          <w:szCs w:val="32"/>
          <w:u w:val="none"/>
        </w:rPr>
        <w:t>说明</w:t>
      </w:r>
    </w:p>
    <w:p w14:paraId="6225B229">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（一）“三公”经费的单位范围</w:t>
      </w:r>
    </w:p>
    <w:p w14:paraId="0BBA32C4">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val="en-US" w:eastAsia="zh-CN"/>
        </w:rPr>
        <w:t>促进中心</w:t>
      </w:r>
      <w:r>
        <w:rPr>
          <w:rFonts w:hint="eastAsia" w:ascii="仿宋_GB2312" w:eastAsia="仿宋_GB2312"/>
          <w:color w:val="auto"/>
          <w:sz w:val="32"/>
          <w:szCs w:val="32"/>
          <w:u w:val="none"/>
        </w:rPr>
        <w:t>因公出国（境）费用、公务接待费、公务用车购置和运行维护费开支单位包括</w:t>
      </w:r>
      <w:r>
        <w:rPr>
          <w:rFonts w:hint="eastAsia" w:ascii="仿宋_GB2312" w:eastAsia="仿宋_GB2312"/>
          <w:color w:val="auto"/>
          <w:sz w:val="32"/>
          <w:szCs w:val="32"/>
          <w:u w:val="none"/>
          <w:lang w:val="en-US" w:eastAsia="zh-CN"/>
        </w:rPr>
        <w:t>1</w:t>
      </w:r>
      <w:r>
        <w:rPr>
          <w:rFonts w:hint="eastAsia" w:ascii="仿宋_GB2312" w:eastAsia="仿宋_GB2312"/>
          <w:color w:val="auto"/>
          <w:sz w:val="32"/>
          <w:szCs w:val="32"/>
          <w:u w:val="none"/>
        </w:rPr>
        <w:t>个事业单位。</w:t>
      </w:r>
    </w:p>
    <w:p w14:paraId="4A9211CB">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（二）财政拨款“三公”经费预算情况说明</w:t>
      </w:r>
    </w:p>
    <w:p w14:paraId="5ADA03BE">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财政拨款“三公”经费预算19.19万元，</w:t>
      </w:r>
      <w:r>
        <w:rPr>
          <w:rFonts w:hint="eastAsia" w:ascii="仿宋_GB2312" w:eastAsia="仿宋_GB2312"/>
          <w:color w:val="auto"/>
          <w:sz w:val="32"/>
          <w:szCs w:val="32"/>
          <w:u w:val="none"/>
          <w:lang w:val="en-US" w:eastAsia="zh-CN"/>
        </w:rPr>
        <w:t>与</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财政拨款“三公”经费预算</w:t>
      </w:r>
      <w:r>
        <w:rPr>
          <w:rFonts w:hint="eastAsia" w:ascii="仿宋_GB2312" w:eastAsia="仿宋_GB2312"/>
          <w:color w:val="auto"/>
          <w:sz w:val="32"/>
          <w:szCs w:val="32"/>
          <w:u w:val="none"/>
          <w:lang w:val="en-US" w:eastAsia="zh-CN"/>
        </w:rPr>
        <w:t>19.19万元持平</w:t>
      </w:r>
      <w:r>
        <w:rPr>
          <w:rFonts w:hint="eastAsia" w:ascii="仿宋_GB2312" w:eastAsia="仿宋_GB2312"/>
          <w:color w:val="auto"/>
          <w:sz w:val="32"/>
          <w:szCs w:val="32"/>
          <w:u w:val="none"/>
        </w:rPr>
        <w:t>。其中：</w:t>
      </w:r>
    </w:p>
    <w:p w14:paraId="213A2302">
      <w:pPr>
        <w:spacing w:line="560" w:lineRule="exact"/>
        <w:ind w:firstLine="640" w:firstLineChars="200"/>
        <w:rPr>
          <w:rFonts w:hint="eastAsia" w:ascii="仿宋_GB2312" w:eastAsia="仿宋_GB2312"/>
          <w:color w:val="auto"/>
          <w:sz w:val="32"/>
          <w:szCs w:val="32"/>
          <w:u w:val="none"/>
          <w:lang w:eastAsia="zh-CN"/>
        </w:rPr>
      </w:pPr>
      <w:r>
        <w:rPr>
          <w:rFonts w:hint="eastAsia" w:ascii="仿宋_GB2312" w:eastAsia="仿宋_GB2312"/>
          <w:color w:val="auto"/>
          <w:sz w:val="32"/>
          <w:szCs w:val="32"/>
          <w:u w:val="none"/>
        </w:rPr>
        <w:t>1.因公出国（境）费用。</w:t>
      </w:r>
      <w:r>
        <w:rPr>
          <w:rFonts w:hint="eastAsia" w:ascii="仿宋_GB2312" w:eastAsia="仿宋_GB2312"/>
          <w:color w:val="auto"/>
          <w:sz w:val="32"/>
          <w:szCs w:val="32"/>
          <w:u w:val="none"/>
          <w:lang w:eastAsia="zh-CN"/>
        </w:rPr>
        <w:t>202</w:t>
      </w:r>
      <w:r>
        <w:rPr>
          <w:rFonts w:hint="eastAsia" w:ascii="仿宋_GB2312" w:eastAsia="仿宋_GB2312"/>
          <w:color w:val="auto"/>
          <w:sz w:val="32"/>
          <w:szCs w:val="32"/>
          <w:u w:val="none"/>
          <w:lang w:val="en-US" w:eastAsia="zh-CN"/>
        </w:rPr>
        <w:t>5</w:t>
      </w:r>
      <w:r>
        <w:rPr>
          <w:rFonts w:hint="eastAsia" w:ascii="仿宋_GB2312" w:eastAsia="仿宋_GB2312"/>
          <w:color w:val="auto"/>
          <w:sz w:val="32"/>
          <w:szCs w:val="32"/>
          <w:u w:val="none"/>
          <w:lang w:eastAsia="zh-CN"/>
        </w:rPr>
        <w:t>年预算数0.00万元，与202</w:t>
      </w:r>
      <w:r>
        <w:rPr>
          <w:rFonts w:hint="eastAsia" w:ascii="仿宋_GB2312" w:eastAsia="仿宋_GB2312"/>
          <w:color w:val="auto"/>
          <w:sz w:val="32"/>
          <w:szCs w:val="32"/>
          <w:u w:val="none"/>
          <w:lang w:val="en-US" w:eastAsia="zh-CN"/>
        </w:rPr>
        <w:t>4</w:t>
      </w:r>
      <w:r>
        <w:rPr>
          <w:rFonts w:hint="eastAsia" w:ascii="仿宋_GB2312" w:eastAsia="仿宋_GB2312"/>
          <w:color w:val="auto"/>
          <w:sz w:val="32"/>
          <w:szCs w:val="32"/>
          <w:u w:val="none"/>
          <w:lang w:eastAsia="zh-CN"/>
        </w:rPr>
        <w:t>年年初预算数</w:t>
      </w:r>
      <w:r>
        <w:rPr>
          <w:rFonts w:hint="eastAsia" w:ascii="仿宋_GB2312" w:eastAsia="仿宋_GB2312"/>
          <w:color w:val="auto"/>
          <w:sz w:val="32"/>
          <w:szCs w:val="32"/>
          <w:u w:val="none"/>
          <w:lang w:val="en-US" w:eastAsia="zh-CN"/>
        </w:rPr>
        <w:t>0.00万元</w:t>
      </w:r>
      <w:r>
        <w:rPr>
          <w:rFonts w:hint="eastAsia" w:ascii="仿宋_GB2312" w:eastAsia="仿宋_GB2312"/>
          <w:color w:val="auto"/>
          <w:sz w:val="32"/>
          <w:szCs w:val="32"/>
          <w:u w:val="none"/>
          <w:lang w:eastAsia="zh-CN"/>
        </w:rPr>
        <w:t>持平。</w:t>
      </w:r>
    </w:p>
    <w:p w14:paraId="2B2CAAB3">
      <w:pPr>
        <w:spacing w:line="560" w:lineRule="exact"/>
        <w:ind w:firstLine="640" w:firstLineChars="200"/>
        <w:rPr>
          <w:rFonts w:hint="eastAsia" w:ascii="仿宋_GB2312" w:eastAsia="仿宋_GB2312"/>
          <w:color w:val="C00000"/>
          <w:sz w:val="32"/>
          <w:szCs w:val="32"/>
          <w:u w:val="none"/>
        </w:rPr>
      </w:pPr>
      <w:r>
        <w:rPr>
          <w:rFonts w:hint="eastAsia" w:ascii="仿宋_GB2312" w:eastAsia="仿宋_GB2312"/>
          <w:color w:val="auto"/>
          <w:sz w:val="32"/>
          <w:szCs w:val="32"/>
          <w:u w:val="none"/>
        </w:rPr>
        <w:t>2.公务接待费。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1</w:t>
      </w:r>
      <w:r>
        <w:rPr>
          <w:rFonts w:hint="eastAsia" w:ascii="仿宋_GB2312" w:eastAsia="仿宋_GB2312"/>
          <w:color w:val="auto"/>
          <w:sz w:val="32"/>
          <w:szCs w:val="32"/>
          <w:u w:val="none"/>
        </w:rPr>
        <w:t>.</w:t>
      </w:r>
      <w:r>
        <w:rPr>
          <w:rFonts w:hint="eastAsia" w:ascii="仿宋_GB2312" w:eastAsia="仿宋_GB2312"/>
          <w:color w:val="auto"/>
          <w:sz w:val="32"/>
          <w:szCs w:val="32"/>
          <w:u w:val="none"/>
          <w:lang w:val="en-US" w:eastAsia="zh-CN"/>
        </w:rPr>
        <w:t>69</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val="en-US" w:eastAsia="zh-CN"/>
        </w:rPr>
        <w:t>与</w:t>
      </w:r>
      <w:r>
        <w:rPr>
          <w:rFonts w:hint="eastAsia" w:ascii="仿宋_GB2312" w:eastAsia="仿宋_GB2312"/>
          <w:color w:val="auto"/>
          <w:sz w:val="32"/>
          <w:szCs w:val="32"/>
          <w:u w:val="none"/>
          <w:lang w:eastAsia="zh-CN"/>
        </w:rPr>
        <w:t>2024年年初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0.00万元持平</w:t>
      </w:r>
      <w:r>
        <w:rPr>
          <w:rFonts w:hint="eastAsia" w:ascii="仿宋_GB2312" w:eastAsia="仿宋_GB2312"/>
          <w:color w:val="auto"/>
          <w:sz w:val="32"/>
          <w:szCs w:val="32"/>
          <w:u w:val="none"/>
        </w:rPr>
        <w:t>。</w:t>
      </w:r>
    </w:p>
    <w:p w14:paraId="6E5C9E34">
      <w:pPr>
        <w:shd w:val="clear"/>
        <w:spacing w:line="54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3.公务用车购置和运行维护费。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17.50</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包括：</w:t>
      </w:r>
      <w:r>
        <w:rPr>
          <w:rFonts w:hint="eastAsia" w:ascii="仿宋_GB2312" w:eastAsia="仿宋_GB2312"/>
          <w:color w:val="auto"/>
          <w:sz w:val="32"/>
          <w:szCs w:val="32"/>
          <w:u w:val="none"/>
        </w:rPr>
        <w:t>公务用车购置费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0.00</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val="en-US" w:eastAsia="zh-CN"/>
        </w:rPr>
        <w:t>与</w:t>
      </w:r>
      <w:r>
        <w:rPr>
          <w:rFonts w:hint="eastAsia" w:ascii="仿宋_GB2312" w:eastAsia="仿宋_GB2312"/>
          <w:color w:val="auto"/>
          <w:sz w:val="32"/>
          <w:szCs w:val="32"/>
          <w:u w:val="none"/>
          <w:lang w:eastAsia="zh-CN"/>
        </w:rPr>
        <w:t>2024年年初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持平</w:t>
      </w:r>
      <w:r>
        <w:rPr>
          <w:rFonts w:hint="eastAsia" w:ascii="仿宋_GB2312" w:eastAsia="仿宋_GB2312"/>
          <w:color w:val="auto"/>
          <w:sz w:val="32"/>
          <w:szCs w:val="32"/>
          <w:u w:val="none"/>
        </w:rPr>
        <w:t>；公务用车运行维护费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17.50</w:t>
      </w:r>
      <w:r>
        <w:rPr>
          <w:rFonts w:hint="eastAsia" w:ascii="仿宋_GB2312" w:eastAsia="仿宋_GB2312"/>
          <w:color w:val="auto"/>
          <w:sz w:val="32"/>
          <w:szCs w:val="32"/>
          <w:u w:val="none"/>
        </w:rPr>
        <w:t>万元，其中：公务用车燃油</w:t>
      </w:r>
      <w:r>
        <w:rPr>
          <w:rFonts w:hint="eastAsia" w:ascii="仿宋_GB2312" w:eastAsia="仿宋_GB2312"/>
          <w:color w:val="auto"/>
          <w:sz w:val="32"/>
          <w:szCs w:val="32"/>
          <w:u w:val="none"/>
          <w:lang w:val="en-US" w:eastAsia="zh-CN"/>
        </w:rPr>
        <w:t>9.27</w:t>
      </w:r>
      <w:r>
        <w:rPr>
          <w:rFonts w:hint="eastAsia" w:ascii="仿宋_GB2312" w:eastAsia="仿宋_GB2312"/>
          <w:color w:val="auto"/>
          <w:sz w:val="32"/>
          <w:szCs w:val="32"/>
          <w:u w:val="none"/>
        </w:rPr>
        <w:t>万元，公务用车维修</w:t>
      </w:r>
      <w:r>
        <w:rPr>
          <w:rFonts w:hint="eastAsia" w:ascii="仿宋_GB2312" w:eastAsia="仿宋_GB2312"/>
          <w:color w:val="auto"/>
          <w:sz w:val="32"/>
          <w:szCs w:val="32"/>
          <w:u w:val="none"/>
          <w:lang w:val="en-US" w:eastAsia="zh-CN"/>
        </w:rPr>
        <w:t>2.98</w:t>
      </w:r>
      <w:r>
        <w:rPr>
          <w:rFonts w:hint="eastAsia" w:ascii="仿宋_GB2312" w:eastAsia="仿宋_GB2312"/>
          <w:color w:val="auto"/>
          <w:sz w:val="32"/>
          <w:szCs w:val="32"/>
          <w:u w:val="none"/>
        </w:rPr>
        <w:t>万元，公务用车保险</w:t>
      </w:r>
      <w:r>
        <w:rPr>
          <w:rFonts w:hint="eastAsia" w:ascii="仿宋_GB2312" w:eastAsia="仿宋_GB2312"/>
          <w:color w:val="auto"/>
          <w:sz w:val="32"/>
          <w:szCs w:val="32"/>
          <w:u w:val="none"/>
          <w:lang w:val="en-US" w:eastAsia="zh-CN"/>
        </w:rPr>
        <w:t>2.98</w:t>
      </w:r>
      <w:r>
        <w:rPr>
          <w:rFonts w:hint="eastAsia" w:ascii="仿宋_GB2312" w:eastAsia="仿宋_GB2312"/>
          <w:color w:val="auto"/>
          <w:sz w:val="32"/>
          <w:szCs w:val="32"/>
          <w:u w:val="none"/>
        </w:rPr>
        <w:t>万元，其他支出</w:t>
      </w:r>
      <w:r>
        <w:rPr>
          <w:rFonts w:hint="eastAsia" w:ascii="仿宋_GB2312" w:eastAsia="仿宋_GB2312"/>
          <w:color w:val="auto"/>
          <w:sz w:val="32"/>
          <w:szCs w:val="32"/>
          <w:u w:val="none"/>
          <w:lang w:val="en-US" w:eastAsia="zh-CN"/>
        </w:rPr>
        <w:t>2.27</w:t>
      </w:r>
      <w:r>
        <w:rPr>
          <w:rFonts w:hint="eastAsia" w:ascii="仿宋_GB2312" w:eastAsia="仿宋_GB2312"/>
          <w:color w:val="auto"/>
          <w:sz w:val="32"/>
          <w:szCs w:val="32"/>
          <w:u w:val="none"/>
        </w:rPr>
        <w:t>万元。公务用车运行维护费</w:t>
      </w:r>
      <w:r>
        <w:rPr>
          <w:rFonts w:hint="eastAsia" w:ascii="仿宋_GB2312" w:eastAsia="仿宋_GB2312"/>
          <w:color w:val="auto"/>
          <w:sz w:val="32"/>
          <w:szCs w:val="32"/>
          <w:u w:val="none"/>
          <w:lang w:eastAsia="zh-CN"/>
        </w:rPr>
        <w:t>2025年预算数</w:t>
      </w:r>
      <w:r>
        <w:rPr>
          <w:rFonts w:hint="eastAsia" w:ascii="仿宋_GB2312" w:eastAsia="仿宋_GB2312"/>
          <w:color w:val="auto"/>
          <w:sz w:val="32"/>
          <w:szCs w:val="32"/>
          <w:u w:val="none"/>
          <w:lang w:val="en-US" w:eastAsia="zh-CN"/>
        </w:rPr>
        <w:t>与</w:t>
      </w:r>
      <w:r>
        <w:rPr>
          <w:rFonts w:hint="eastAsia" w:ascii="仿宋_GB2312" w:eastAsia="仿宋_GB2312"/>
          <w:color w:val="auto"/>
          <w:sz w:val="32"/>
          <w:szCs w:val="32"/>
          <w:u w:val="none"/>
          <w:lang w:eastAsia="zh-CN"/>
        </w:rPr>
        <w:t>2024年年初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17.50万元持平</w:t>
      </w:r>
      <w:r>
        <w:rPr>
          <w:rFonts w:hint="eastAsia" w:ascii="仿宋_GB2312" w:eastAsia="仿宋_GB2312"/>
          <w:color w:val="auto"/>
          <w:sz w:val="32"/>
          <w:szCs w:val="32"/>
          <w:u w:val="none"/>
        </w:rPr>
        <w:t>。</w:t>
      </w:r>
    </w:p>
    <w:p w14:paraId="4FF1A1E7">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五</w:t>
      </w:r>
      <w:r>
        <w:rPr>
          <w:rFonts w:hint="eastAsia" w:ascii="黑体" w:eastAsia="黑体"/>
          <w:color w:val="auto"/>
          <w:sz w:val="32"/>
          <w:szCs w:val="32"/>
          <w:u w:val="none"/>
        </w:rPr>
        <w:t>、其他情况说明</w:t>
      </w:r>
    </w:p>
    <w:p w14:paraId="135042FD">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（一）政府采购预算说明</w:t>
      </w:r>
    </w:p>
    <w:p w14:paraId="6D5A7697">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lang w:val="en-US" w:eastAsia="zh-CN"/>
        </w:rPr>
        <w:t>促进中心</w:t>
      </w:r>
      <w:r>
        <w:rPr>
          <w:rFonts w:hint="eastAsia" w:ascii="仿宋_GB2312" w:eastAsia="仿宋_GB2312"/>
          <w:color w:val="auto"/>
          <w:sz w:val="32"/>
          <w:szCs w:val="32"/>
          <w:u w:val="none"/>
        </w:rPr>
        <w:t>政府采购预算总额737.6</w:t>
      </w:r>
      <w:r>
        <w:rPr>
          <w:rFonts w:hint="eastAsia" w:ascii="仿宋_GB2312" w:eastAsia="仿宋_GB2312"/>
          <w:color w:val="auto"/>
          <w:sz w:val="32"/>
          <w:szCs w:val="32"/>
          <w:u w:val="none"/>
          <w:lang w:val="en-US" w:eastAsia="zh-CN"/>
        </w:rPr>
        <w:t>8</w:t>
      </w:r>
      <w:r>
        <w:rPr>
          <w:rFonts w:hint="eastAsia" w:ascii="仿宋_GB2312" w:eastAsia="仿宋_GB2312"/>
          <w:color w:val="auto"/>
          <w:sz w:val="32"/>
          <w:szCs w:val="32"/>
          <w:u w:val="none"/>
        </w:rPr>
        <w:t>万元，其中：政府采购货物预算</w:t>
      </w:r>
      <w:r>
        <w:rPr>
          <w:rFonts w:hint="eastAsia" w:ascii="仿宋_GB2312" w:eastAsia="仿宋_GB2312"/>
          <w:color w:val="auto"/>
          <w:sz w:val="32"/>
          <w:szCs w:val="32"/>
          <w:u w:val="none"/>
          <w:lang w:val="en-US" w:eastAsia="zh-CN"/>
        </w:rPr>
        <w:t>0</w:t>
      </w:r>
      <w:r>
        <w:rPr>
          <w:rFonts w:hint="eastAsia" w:ascii="仿宋_GB2312" w:eastAsia="仿宋_GB2312"/>
          <w:color w:val="auto"/>
          <w:sz w:val="32"/>
          <w:szCs w:val="32"/>
          <w:u w:val="none"/>
        </w:rPr>
        <w:t>.</w:t>
      </w:r>
      <w:r>
        <w:rPr>
          <w:rFonts w:hint="eastAsia" w:ascii="仿宋_GB2312" w:eastAsia="仿宋_GB2312"/>
          <w:color w:val="auto"/>
          <w:sz w:val="32"/>
          <w:szCs w:val="32"/>
          <w:u w:val="none"/>
          <w:lang w:val="en-US" w:eastAsia="zh-CN"/>
        </w:rPr>
        <w:t>00</w:t>
      </w:r>
      <w:r>
        <w:rPr>
          <w:rFonts w:hint="eastAsia" w:ascii="仿宋_GB2312" w:eastAsia="仿宋_GB2312"/>
          <w:color w:val="auto"/>
          <w:sz w:val="32"/>
          <w:szCs w:val="32"/>
          <w:u w:val="none"/>
        </w:rPr>
        <w:t>万元，政府采购工程预算</w:t>
      </w:r>
      <w:r>
        <w:rPr>
          <w:rFonts w:hint="eastAsia" w:ascii="仿宋_GB2312" w:eastAsia="仿宋_GB2312"/>
          <w:color w:val="auto"/>
          <w:sz w:val="32"/>
          <w:szCs w:val="32"/>
          <w:u w:val="none"/>
          <w:lang w:val="en-US" w:eastAsia="zh-CN"/>
        </w:rPr>
        <w:t>0.00</w:t>
      </w:r>
      <w:r>
        <w:rPr>
          <w:rFonts w:hint="eastAsia" w:ascii="仿宋_GB2312" w:eastAsia="仿宋_GB2312"/>
          <w:color w:val="auto"/>
          <w:sz w:val="32"/>
          <w:szCs w:val="32"/>
          <w:u w:val="none"/>
        </w:rPr>
        <w:t>万元，政府采购服务预算737.6</w:t>
      </w:r>
      <w:r>
        <w:rPr>
          <w:rFonts w:hint="eastAsia" w:ascii="仿宋_GB2312" w:eastAsia="仿宋_GB2312"/>
          <w:color w:val="auto"/>
          <w:sz w:val="32"/>
          <w:szCs w:val="32"/>
          <w:u w:val="none"/>
          <w:lang w:val="en-US" w:eastAsia="zh-CN"/>
        </w:rPr>
        <w:t>8</w:t>
      </w:r>
      <w:r>
        <w:rPr>
          <w:rFonts w:hint="eastAsia" w:ascii="仿宋_GB2312" w:eastAsia="仿宋_GB2312"/>
          <w:color w:val="auto"/>
          <w:sz w:val="32"/>
          <w:szCs w:val="32"/>
          <w:u w:val="none"/>
        </w:rPr>
        <w:t>万元。</w:t>
      </w:r>
    </w:p>
    <w:p w14:paraId="13B35290">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（二）政府购买服务预算说明</w:t>
      </w:r>
    </w:p>
    <w:p w14:paraId="180BDDD9">
      <w:pPr>
        <w:spacing w:line="560" w:lineRule="exact"/>
        <w:ind w:firstLine="640" w:firstLineChars="200"/>
        <w:rPr>
          <w:rFonts w:hint="eastAsia" w:ascii="仿宋_GB2312" w:eastAsia="仿宋_GB2312"/>
          <w:color w:val="auto"/>
          <w:sz w:val="32"/>
          <w:szCs w:val="32"/>
          <w:u w:val="none"/>
          <w:lang w:val="en-US" w:eastAsia="zh-CN"/>
        </w:rPr>
      </w:pPr>
      <w:r>
        <w:rPr>
          <w:rFonts w:hint="eastAsia" w:ascii="仿宋_GB2312" w:eastAsia="仿宋_GB2312"/>
          <w:color w:val="auto"/>
          <w:sz w:val="32"/>
          <w:szCs w:val="32"/>
          <w:u w:val="none"/>
          <w:lang w:val="en-US" w:eastAsia="zh-CN"/>
        </w:rPr>
        <w:t>本单位不属于政府购买服务购买主体。</w:t>
      </w:r>
    </w:p>
    <w:p w14:paraId="0E440A41">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（三）机关运行经费说明</w:t>
      </w:r>
    </w:p>
    <w:p w14:paraId="5979A365">
      <w:pPr>
        <w:spacing w:line="560" w:lineRule="exact"/>
        <w:ind w:firstLine="640" w:firstLineChars="200"/>
        <w:rPr>
          <w:rFonts w:hint="eastAsia" w:ascii="仿宋_GB2312" w:eastAsia="仿宋_GB2312"/>
          <w:color w:val="auto"/>
          <w:sz w:val="32"/>
          <w:szCs w:val="32"/>
          <w:u w:val="none"/>
          <w:lang w:val="en-US" w:eastAsia="zh-CN"/>
        </w:rPr>
      </w:pPr>
      <w:r>
        <w:rPr>
          <w:rFonts w:hint="eastAsia" w:ascii="仿宋_GB2312" w:eastAsia="仿宋_GB2312"/>
          <w:color w:val="auto"/>
          <w:sz w:val="32"/>
          <w:szCs w:val="32"/>
          <w:u w:val="none"/>
          <w:lang w:val="en-US" w:eastAsia="zh-CN"/>
        </w:rPr>
        <w:t>本单位不在机关运行经费统计范围之内。</w:t>
      </w:r>
    </w:p>
    <w:p w14:paraId="0CF9CC74">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（四）项目支出绩效目标情况说明</w:t>
      </w:r>
    </w:p>
    <w:p w14:paraId="4C348CED">
      <w:pPr>
        <w:spacing w:line="560" w:lineRule="exact"/>
        <w:ind w:firstLine="640" w:firstLineChars="200"/>
        <w:rPr>
          <w:rFonts w:hint="eastAsia" w:ascii="仿宋_GB2312" w:eastAsia="仿宋_GB2312"/>
          <w:color w:val="auto"/>
          <w:sz w:val="32"/>
          <w:szCs w:val="32"/>
          <w:u w:val="none"/>
          <w:lang w:eastAsia="zh-CN"/>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w:t>
      </w:r>
      <w:r>
        <w:rPr>
          <w:rFonts w:hint="eastAsia" w:ascii="仿宋_GB2312" w:eastAsia="仿宋_GB2312"/>
          <w:color w:val="auto"/>
          <w:sz w:val="32"/>
          <w:szCs w:val="32"/>
          <w:u w:val="none"/>
          <w:lang w:val="en-US" w:eastAsia="zh-CN"/>
        </w:rPr>
        <w:t>促进中心</w:t>
      </w:r>
      <w:r>
        <w:rPr>
          <w:rFonts w:hint="eastAsia" w:ascii="仿宋_GB2312" w:eastAsia="仿宋_GB2312"/>
          <w:color w:val="auto"/>
          <w:sz w:val="32"/>
          <w:szCs w:val="32"/>
          <w:u w:val="none"/>
        </w:rPr>
        <w:t>填报绩效目标的预算项目</w:t>
      </w:r>
      <w:r>
        <w:rPr>
          <w:rFonts w:hint="eastAsia" w:ascii="仿宋_GB2312" w:eastAsia="仿宋_GB2312"/>
          <w:color w:val="auto"/>
          <w:sz w:val="32"/>
          <w:szCs w:val="32"/>
          <w:u w:val="none"/>
          <w:lang w:val="en-US" w:eastAsia="zh-CN"/>
        </w:rPr>
        <w:t>7</w:t>
      </w:r>
      <w:r>
        <w:rPr>
          <w:rFonts w:hint="eastAsia" w:ascii="仿宋_GB2312" w:eastAsia="仿宋_GB2312"/>
          <w:color w:val="auto"/>
          <w:sz w:val="32"/>
          <w:szCs w:val="32"/>
          <w:u w:val="none"/>
        </w:rPr>
        <w:t>个，占本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本年预算项目</w:t>
      </w:r>
      <w:r>
        <w:rPr>
          <w:rFonts w:hint="eastAsia" w:ascii="仿宋_GB2312" w:eastAsia="仿宋_GB2312"/>
          <w:color w:val="auto"/>
          <w:sz w:val="32"/>
          <w:szCs w:val="32"/>
          <w:u w:val="none"/>
          <w:lang w:val="en-US" w:eastAsia="zh-CN"/>
        </w:rPr>
        <w:t>7</w:t>
      </w:r>
      <w:r>
        <w:rPr>
          <w:rFonts w:hint="eastAsia" w:ascii="仿宋_GB2312" w:eastAsia="仿宋_GB2312"/>
          <w:color w:val="auto"/>
          <w:sz w:val="32"/>
          <w:szCs w:val="32"/>
          <w:u w:val="none"/>
        </w:rPr>
        <w:t>个的</w:t>
      </w:r>
      <w:r>
        <w:rPr>
          <w:rFonts w:hint="eastAsia" w:ascii="仿宋_GB2312" w:eastAsia="仿宋_GB2312"/>
          <w:color w:val="auto"/>
          <w:sz w:val="32"/>
          <w:szCs w:val="32"/>
          <w:u w:val="none"/>
          <w:lang w:val="en-US" w:eastAsia="zh-CN"/>
        </w:rPr>
        <w:t>100</w:t>
      </w:r>
      <w:r>
        <w:rPr>
          <w:rFonts w:hint="eastAsia" w:ascii="仿宋_GB2312" w:eastAsia="仿宋_GB2312"/>
          <w:color w:val="auto"/>
          <w:sz w:val="32"/>
          <w:szCs w:val="32"/>
          <w:u w:val="none"/>
        </w:rPr>
        <w:t>%。填报绩效目标的项目支出预算1,698.3</w:t>
      </w:r>
      <w:r>
        <w:rPr>
          <w:rFonts w:hint="eastAsia" w:ascii="仿宋_GB2312" w:eastAsia="仿宋_GB2312"/>
          <w:color w:val="auto"/>
          <w:sz w:val="32"/>
          <w:szCs w:val="32"/>
          <w:u w:val="none"/>
          <w:lang w:val="en-US" w:eastAsia="zh-CN"/>
        </w:rPr>
        <w:t>1</w:t>
      </w:r>
      <w:r>
        <w:rPr>
          <w:rFonts w:hint="eastAsia" w:ascii="仿宋_GB2312" w:eastAsia="仿宋_GB2312"/>
          <w:color w:val="auto"/>
          <w:sz w:val="32"/>
          <w:szCs w:val="32"/>
          <w:u w:val="none"/>
        </w:rPr>
        <w:t>万元，占本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本年项目支出预算的</w:t>
      </w:r>
      <w:r>
        <w:rPr>
          <w:rFonts w:hint="eastAsia" w:ascii="仿宋_GB2312" w:eastAsia="仿宋_GB2312"/>
          <w:color w:val="auto"/>
          <w:sz w:val="32"/>
          <w:szCs w:val="32"/>
          <w:u w:val="none"/>
          <w:lang w:val="en-US" w:eastAsia="zh-CN"/>
        </w:rPr>
        <w:t>100</w:t>
      </w:r>
      <w:r>
        <w:rPr>
          <w:rFonts w:hint="eastAsia" w:ascii="仿宋_GB2312" w:eastAsia="仿宋_GB2312"/>
          <w:color w:val="auto"/>
          <w:sz w:val="32"/>
          <w:szCs w:val="32"/>
          <w:u w:val="none"/>
        </w:rPr>
        <w:t>%</w:t>
      </w:r>
      <w:r>
        <w:rPr>
          <w:rFonts w:hint="eastAsia" w:ascii="仿宋_GB2312" w:eastAsia="仿宋_GB2312"/>
          <w:color w:val="auto"/>
          <w:sz w:val="32"/>
          <w:szCs w:val="32"/>
          <w:u w:val="none"/>
          <w:lang w:eastAsia="zh-CN"/>
        </w:rPr>
        <w:t>。</w:t>
      </w:r>
    </w:p>
    <w:p w14:paraId="2A630CF5">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（五）</w:t>
      </w:r>
      <w:r>
        <w:rPr>
          <w:rFonts w:hint="eastAsia" w:ascii="楷体_GB2312" w:eastAsia="楷体_GB2312" w:cs="Droid Sans"/>
          <w:color w:val="auto"/>
          <w:sz w:val="32"/>
          <w:szCs w:val="32"/>
          <w:u w:val="none"/>
        </w:rPr>
        <w:t>重点行政事业性收费情况说明</w:t>
      </w:r>
    </w:p>
    <w:p w14:paraId="038722E1">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本单位</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无重点行政事业性收费</w:t>
      </w:r>
      <w:r>
        <w:rPr>
          <w:rFonts w:hint="eastAsia" w:ascii="仿宋_GB2312" w:eastAsia="仿宋_GB2312"/>
          <w:color w:val="auto"/>
          <w:sz w:val="32"/>
          <w:szCs w:val="32"/>
          <w:u w:val="none"/>
          <w:lang w:eastAsia="zh-CN"/>
        </w:rPr>
        <w:t>。</w:t>
      </w:r>
    </w:p>
    <w:p w14:paraId="713BB443">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（六）国有资本经营预算财政拨款情况说明</w:t>
      </w:r>
    </w:p>
    <w:p w14:paraId="42E91D8D">
      <w:pPr>
        <w:spacing w:line="560" w:lineRule="exact"/>
        <w:ind w:firstLine="640" w:firstLineChars="200"/>
        <w:rPr>
          <w:rFonts w:hint="eastAsia" w:ascii="仿宋_GB2312" w:eastAsia="仿宋_GB2312"/>
          <w:color w:val="000000"/>
          <w:sz w:val="32"/>
          <w:szCs w:val="32"/>
          <w:u w:val="none"/>
          <w:lang w:eastAsia="zh-CN"/>
        </w:rPr>
      </w:pPr>
      <w:r>
        <w:rPr>
          <w:rFonts w:hint="eastAsia" w:ascii="仿宋_GB2312" w:eastAsia="仿宋_GB2312"/>
          <w:color w:val="auto"/>
          <w:sz w:val="32"/>
          <w:szCs w:val="32"/>
          <w:u w:val="none"/>
        </w:rPr>
        <w:t>本单位</w:t>
      </w:r>
      <w:r>
        <w:rPr>
          <w:rFonts w:hint="eastAsia" w:ascii="仿宋_GB2312" w:eastAsia="仿宋_GB2312"/>
          <w:color w:val="auto"/>
          <w:sz w:val="32"/>
          <w:szCs w:val="32"/>
          <w:u w:val="none"/>
          <w:lang w:eastAsia="zh-CN"/>
        </w:rPr>
        <w:t>2025</w:t>
      </w:r>
      <w:r>
        <w:rPr>
          <w:rFonts w:hint="eastAsia" w:ascii="仿宋_GB2312" w:eastAsia="仿宋_GB2312"/>
          <w:color w:val="000000"/>
          <w:sz w:val="32"/>
          <w:szCs w:val="32"/>
          <w:u w:val="none"/>
          <w:lang w:eastAsia="zh-CN"/>
        </w:rPr>
        <w:t>年</w:t>
      </w:r>
      <w:r>
        <w:rPr>
          <w:rFonts w:hint="eastAsia" w:ascii="仿宋_GB2312" w:eastAsia="仿宋_GB2312"/>
          <w:color w:val="000000"/>
          <w:sz w:val="32"/>
          <w:szCs w:val="32"/>
          <w:u w:val="none"/>
        </w:rPr>
        <w:t>无国有资本经营预算财政拨款安排的预算</w:t>
      </w:r>
      <w:r>
        <w:rPr>
          <w:rFonts w:hint="eastAsia" w:ascii="仿宋_GB2312" w:eastAsia="仿宋_GB2312"/>
          <w:color w:val="000000"/>
          <w:sz w:val="32"/>
          <w:szCs w:val="32"/>
          <w:u w:val="none"/>
          <w:lang w:eastAsia="zh-CN"/>
        </w:rPr>
        <w:t>。</w:t>
      </w:r>
    </w:p>
    <w:p w14:paraId="5380C687">
      <w:pPr>
        <w:spacing w:line="560" w:lineRule="exact"/>
        <w:ind w:firstLine="640" w:firstLineChars="200"/>
        <w:rPr>
          <w:rFonts w:hint="eastAsia" w:ascii="仿宋_GB2312" w:eastAsia="仿宋_GB2312"/>
          <w:color w:val="000000"/>
          <w:sz w:val="32"/>
          <w:szCs w:val="32"/>
          <w:u w:val="none"/>
        </w:rPr>
      </w:pPr>
      <w:r>
        <w:rPr>
          <w:rFonts w:hint="eastAsia" w:ascii="楷体_GB2312" w:eastAsia="楷体_GB2312"/>
          <w:color w:val="000000"/>
          <w:sz w:val="32"/>
          <w:szCs w:val="32"/>
          <w:u w:val="none"/>
        </w:rPr>
        <w:t>（七）国有资产占用情况说明</w:t>
      </w:r>
    </w:p>
    <w:p w14:paraId="446E0F56">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截至</w:t>
      </w:r>
      <w:r>
        <w:rPr>
          <w:rFonts w:hint="eastAsia" w:ascii="仿宋_GB2312" w:eastAsia="仿宋_GB2312"/>
          <w:color w:val="000000"/>
          <w:sz w:val="32"/>
          <w:szCs w:val="32"/>
          <w:highlight w:val="none"/>
          <w:u w:val="none"/>
          <w:lang w:eastAsia="zh-CN"/>
        </w:rPr>
        <w:t>2024</w:t>
      </w:r>
      <w:r>
        <w:rPr>
          <w:rFonts w:hint="eastAsia" w:ascii="仿宋_GB2312" w:eastAsia="仿宋_GB2312"/>
          <w:color w:val="000000"/>
          <w:sz w:val="32"/>
          <w:szCs w:val="32"/>
          <w:u w:val="none"/>
        </w:rPr>
        <w:t>年底，</w:t>
      </w:r>
      <w:r>
        <w:rPr>
          <w:rFonts w:hint="eastAsia" w:ascii="仿宋_GB2312" w:eastAsia="仿宋_GB2312"/>
          <w:color w:val="000000"/>
          <w:sz w:val="32"/>
          <w:szCs w:val="32"/>
          <w:u w:val="none"/>
          <w:lang w:val="en-US" w:eastAsia="zh-CN"/>
        </w:rPr>
        <w:t>促进中心</w:t>
      </w:r>
      <w:r>
        <w:rPr>
          <w:rFonts w:hint="eastAsia" w:ascii="仿宋_GB2312" w:eastAsia="仿宋_GB2312"/>
          <w:color w:val="000000"/>
          <w:sz w:val="32"/>
          <w:szCs w:val="32"/>
          <w:u w:val="none"/>
        </w:rPr>
        <w:t>共有车辆</w:t>
      </w:r>
      <w:r>
        <w:rPr>
          <w:rFonts w:hint="eastAsia" w:ascii="仿宋_GB2312" w:eastAsia="仿宋_GB2312"/>
          <w:color w:val="000000"/>
          <w:sz w:val="32"/>
          <w:szCs w:val="32"/>
          <w:u w:val="none"/>
          <w:lang w:val="en-US" w:eastAsia="zh-CN"/>
        </w:rPr>
        <w:t>5</w:t>
      </w:r>
      <w:r>
        <w:rPr>
          <w:rFonts w:hint="eastAsia" w:ascii="仿宋_GB2312" w:eastAsia="仿宋_GB2312"/>
          <w:color w:val="000000"/>
          <w:sz w:val="32"/>
          <w:szCs w:val="32"/>
          <w:u w:val="none"/>
        </w:rPr>
        <w:t>台，共计</w:t>
      </w:r>
      <w:r>
        <w:rPr>
          <w:rFonts w:hint="eastAsia" w:ascii="仿宋_GB2312" w:eastAsia="仿宋_GB2312"/>
          <w:color w:val="000000"/>
          <w:sz w:val="32"/>
          <w:szCs w:val="32"/>
          <w:u w:val="none"/>
          <w:lang w:val="en-US" w:eastAsia="zh-CN"/>
        </w:rPr>
        <w:t>140</w:t>
      </w:r>
      <w:r>
        <w:rPr>
          <w:rFonts w:hint="eastAsia" w:ascii="仿宋_GB2312" w:eastAsia="仿宋_GB2312"/>
          <w:color w:val="000000"/>
          <w:sz w:val="32"/>
          <w:szCs w:val="32"/>
          <w:u w:val="none"/>
        </w:rPr>
        <w:t>.</w:t>
      </w:r>
      <w:r>
        <w:rPr>
          <w:rFonts w:hint="eastAsia" w:ascii="仿宋_GB2312" w:eastAsia="仿宋_GB2312"/>
          <w:color w:val="000000"/>
          <w:sz w:val="32"/>
          <w:szCs w:val="32"/>
          <w:u w:val="none"/>
          <w:lang w:val="en-US" w:eastAsia="zh-CN"/>
        </w:rPr>
        <w:t>32</w:t>
      </w:r>
      <w:r>
        <w:rPr>
          <w:rFonts w:hint="eastAsia" w:ascii="仿宋_GB2312" w:eastAsia="仿宋_GB2312"/>
          <w:color w:val="000000"/>
          <w:sz w:val="32"/>
          <w:szCs w:val="32"/>
          <w:u w:val="none"/>
        </w:rPr>
        <w:t>万元；单位价值50万元以上的设备</w:t>
      </w:r>
      <w:r>
        <w:rPr>
          <w:rFonts w:hint="eastAsia" w:ascii="仿宋_GB2312" w:eastAsia="仿宋_GB2312"/>
          <w:color w:val="000000"/>
          <w:sz w:val="32"/>
          <w:szCs w:val="32"/>
          <w:u w:val="none"/>
          <w:lang w:val="en-US" w:eastAsia="zh-CN"/>
        </w:rPr>
        <w:t>3</w:t>
      </w:r>
      <w:r>
        <w:rPr>
          <w:rFonts w:hint="eastAsia" w:ascii="仿宋_GB2312" w:eastAsia="仿宋_GB2312"/>
          <w:color w:val="000000"/>
          <w:sz w:val="32"/>
          <w:szCs w:val="32"/>
          <w:u w:val="none"/>
        </w:rPr>
        <w:t>台（套）、共计</w:t>
      </w:r>
      <w:r>
        <w:rPr>
          <w:rFonts w:hint="eastAsia" w:ascii="仿宋_GB2312" w:eastAsia="仿宋_GB2312"/>
          <w:color w:val="000000"/>
          <w:sz w:val="32"/>
          <w:szCs w:val="32"/>
          <w:u w:val="none"/>
          <w:lang w:val="en-US" w:eastAsia="zh-CN"/>
        </w:rPr>
        <w:t>358</w:t>
      </w:r>
      <w:r>
        <w:rPr>
          <w:rFonts w:hint="eastAsia" w:ascii="仿宋_GB2312" w:eastAsia="仿宋_GB2312"/>
          <w:color w:val="000000"/>
          <w:sz w:val="32"/>
          <w:szCs w:val="32"/>
          <w:u w:val="none"/>
        </w:rPr>
        <w:t>.</w:t>
      </w:r>
      <w:r>
        <w:rPr>
          <w:rFonts w:hint="eastAsia" w:ascii="仿宋_GB2312" w:eastAsia="仿宋_GB2312"/>
          <w:color w:val="000000"/>
          <w:sz w:val="32"/>
          <w:szCs w:val="32"/>
          <w:u w:val="none"/>
          <w:lang w:val="en-US" w:eastAsia="zh-CN"/>
        </w:rPr>
        <w:t>8</w:t>
      </w:r>
      <w:r>
        <w:rPr>
          <w:rFonts w:hint="eastAsia" w:ascii="仿宋_GB2312" w:eastAsia="仿宋_GB2312"/>
          <w:color w:val="000000"/>
          <w:sz w:val="32"/>
          <w:szCs w:val="32"/>
          <w:u w:val="none"/>
        </w:rPr>
        <w:t>万元。</w:t>
      </w:r>
      <w:r>
        <w:rPr>
          <w:rFonts w:hint="eastAsia" w:ascii="仿宋_GB2312" w:eastAsia="仿宋_GB2312"/>
          <w:color w:val="000000"/>
          <w:sz w:val="32"/>
          <w:szCs w:val="32"/>
          <w:u w:val="none"/>
          <w:lang w:val="en-US" w:eastAsia="zh-CN"/>
        </w:rPr>
        <w:t>2025年预算安排中，购置单位价值50万元以上的设备0台（套），共计0.00万元。</w:t>
      </w:r>
    </w:p>
    <w:p w14:paraId="5C9C8306">
      <w:pPr>
        <w:spacing w:line="560" w:lineRule="exact"/>
        <w:ind w:firstLine="640" w:firstLineChars="200"/>
        <w:rPr>
          <w:rFonts w:hint="eastAsia" w:ascii="仿宋_GB2312" w:eastAsia="仿宋_GB2312"/>
          <w:color w:val="000000"/>
          <w:spacing w:val="-2"/>
          <w:sz w:val="32"/>
          <w:szCs w:val="32"/>
          <w:u w:val="none"/>
        </w:rPr>
      </w:pPr>
      <w:r>
        <w:rPr>
          <w:rFonts w:hint="eastAsia" w:ascii="黑体" w:eastAsia="黑体"/>
          <w:color w:val="000000"/>
          <w:sz w:val="32"/>
          <w:szCs w:val="32"/>
          <w:u w:val="none"/>
        </w:rPr>
        <w:t>六、名词解释</w:t>
      </w:r>
    </w:p>
    <w:p w14:paraId="3222DD77">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基本支出：指为保障机构正常运转、完成日常工作任务而发生的人员支出和公用支出。</w:t>
      </w:r>
    </w:p>
    <w:p w14:paraId="4D942F5C">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项目支出：指在基本支出之外为完成特定行政任务或事业发展目标所发生的支出。</w:t>
      </w:r>
    </w:p>
    <w:p w14:paraId="50FAF1B2">
      <w:pPr>
        <w:spacing w:line="54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“三公”经费财政拨款预算数：指本</w:t>
      </w:r>
      <w:r>
        <w:rPr>
          <w:rFonts w:hint="eastAsia" w:ascii="仿宋_GB2312" w:eastAsia="仿宋_GB2312"/>
          <w:color w:val="000000"/>
          <w:sz w:val="32"/>
          <w:szCs w:val="32"/>
          <w:u w:val="none"/>
          <w:lang w:val="en-US" w:eastAsia="zh-CN"/>
        </w:rPr>
        <w:t>单位</w:t>
      </w:r>
      <w:r>
        <w:rPr>
          <w:rFonts w:hint="eastAsia" w:ascii="仿宋_GB2312" w:eastAsia="仿宋_GB2312"/>
          <w:color w:val="000000"/>
          <w:sz w:val="32"/>
          <w:szCs w:val="32"/>
          <w:u w:val="none"/>
        </w:rPr>
        <w:t>当年部门预算</w:t>
      </w:r>
      <w:r>
        <w:rPr>
          <w:rFonts w:hint="eastAsia" w:ascii="仿宋_GB2312" w:eastAsia="仿宋_GB2312"/>
          <w:color w:val="000000"/>
          <w:sz w:val="32"/>
          <w:szCs w:val="32"/>
          <w:u w:val="none"/>
          <w:lang w:eastAsia="zh-CN"/>
        </w:rPr>
        <w:t>中财政拨款</w:t>
      </w:r>
      <w:r>
        <w:rPr>
          <w:rFonts w:hint="eastAsia" w:ascii="仿宋_GB2312" w:eastAsia="仿宋_GB2312"/>
          <w:color w:val="000000"/>
          <w:sz w:val="32"/>
          <w:szCs w:val="32"/>
          <w:u w:val="none"/>
        </w:rPr>
        <w:t>安排的因公出国（境）费用、公务接待费、公务用车购置和运行维护费预算数。</w:t>
      </w:r>
    </w:p>
    <w:p w14:paraId="4043E10E">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4AB7BB35">
      <w:pPr>
        <w:spacing w:line="240" w:lineRule="auto"/>
        <w:jc w:val="left"/>
        <w:rPr>
          <w:rFonts w:hint="eastAsia" w:ascii="方正小标宋简体" w:eastAsia="方正小标宋简体"/>
          <w:color w:val="000000"/>
          <w:sz w:val="36"/>
          <w:szCs w:val="36"/>
          <w:u w:val="none"/>
        </w:rPr>
      </w:pPr>
      <w:r>
        <w:rPr>
          <w:rFonts w:hint="eastAsia" w:ascii="方正小标宋简体" w:eastAsia="方正小标宋简体"/>
          <w:color w:val="000000"/>
          <w:sz w:val="36"/>
          <w:szCs w:val="36"/>
          <w:u w:val="none"/>
        </w:rPr>
        <w:br w:type="page"/>
      </w:r>
    </w:p>
    <w:p w14:paraId="7138A00A">
      <w:pPr>
        <w:spacing w:line="560" w:lineRule="exact"/>
        <w:jc w:val="center"/>
        <w:rPr>
          <w:rFonts w:hint="eastAsia" w:ascii="方正小标宋简体" w:eastAsia="方正小标宋简体"/>
          <w:color w:val="000000"/>
          <w:sz w:val="36"/>
          <w:szCs w:val="36"/>
          <w:u w:val="none"/>
        </w:rPr>
      </w:pPr>
    </w:p>
    <w:p w14:paraId="148ACC9D">
      <w:pPr>
        <w:spacing w:line="560" w:lineRule="exact"/>
        <w:jc w:val="center"/>
        <w:rPr>
          <w:rFonts w:hint="eastAsia" w:ascii="方正小标宋简体" w:eastAsia="方正小标宋简体"/>
          <w:color w:val="000000"/>
          <w:sz w:val="36"/>
          <w:szCs w:val="36"/>
          <w:u w:val="none"/>
        </w:rPr>
      </w:pPr>
      <w:r>
        <w:rPr>
          <w:rFonts w:hint="eastAsia" w:ascii="方正小标宋简体" w:eastAsia="方正小标宋简体"/>
          <w:color w:val="000000"/>
          <w:sz w:val="36"/>
          <w:szCs w:val="36"/>
          <w:u w:val="none"/>
        </w:rPr>
        <w:t xml:space="preserve">第二部分  </w:t>
      </w:r>
      <w:r>
        <w:rPr>
          <w:rFonts w:hint="eastAsia" w:ascii="方正小标宋简体" w:eastAsia="方正小标宋简体"/>
          <w:color w:val="000000"/>
          <w:sz w:val="36"/>
          <w:szCs w:val="36"/>
          <w:u w:val="none"/>
          <w:lang w:eastAsia="zh-CN"/>
        </w:rPr>
        <w:t>2025年度</w:t>
      </w:r>
      <w:r>
        <w:rPr>
          <w:rFonts w:hint="eastAsia" w:ascii="方正小标宋简体" w:eastAsia="方正小标宋简体"/>
          <w:color w:val="000000"/>
          <w:sz w:val="36"/>
          <w:szCs w:val="36"/>
          <w:u w:val="none"/>
        </w:rPr>
        <w:t>单位预算报表</w:t>
      </w:r>
    </w:p>
    <w:p w14:paraId="4093B431">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附件</w:t>
      </w:r>
      <w:r>
        <w:rPr>
          <w:rFonts w:hint="eastAsia" w:ascii="仿宋_GB2312" w:eastAsia="仿宋_GB2312"/>
          <w:color w:val="000000"/>
          <w:sz w:val="32"/>
          <w:szCs w:val="32"/>
          <w:u w:val="none"/>
          <w:lang w:eastAsia="zh-CN"/>
        </w:rPr>
        <w:t>：</w:t>
      </w:r>
      <w:r>
        <w:rPr>
          <w:rFonts w:hint="eastAsia" w:ascii="仿宋_GB2312" w:eastAsia="仿宋_GB2312"/>
          <w:color w:val="000000"/>
          <w:sz w:val="32"/>
          <w:szCs w:val="32"/>
          <w:u w:val="none"/>
        </w:rPr>
        <w:t>北京科技创新促进中心</w:t>
      </w:r>
      <w:r>
        <w:rPr>
          <w:rFonts w:hint="eastAsia" w:ascii="仿宋_GB2312" w:eastAsia="仿宋_GB2312"/>
          <w:color w:val="000000"/>
          <w:sz w:val="32"/>
          <w:szCs w:val="32"/>
          <w:u w:val="none"/>
          <w:lang w:eastAsia="zh-CN"/>
        </w:rPr>
        <w:t>2025年</w:t>
      </w:r>
      <w:r>
        <w:rPr>
          <w:rFonts w:hint="eastAsia" w:ascii="仿宋_GB2312" w:eastAsia="仿宋_GB2312"/>
          <w:color w:val="000000"/>
          <w:sz w:val="32"/>
          <w:szCs w:val="32"/>
          <w:u w:val="none"/>
        </w:rPr>
        <w:t>度单位预算报表</w:t>
      </w:r>
      <w:r>
        <w:rPr>
          <w:rFonts w:hint="eastAsia" w:ascii="仿宋_GB2312" w:eastAsia="仿宋_GB2312" w:cs="宋体"/>
          <w:color w:val="000000"/>
          <w:kern w:val="0"/>
          <w:sz w:val="32"/>
          <w:szCs w:val="32"/>
          <w:u w:val="none"/>
          <w:lang w:val="zh-CN"/>
        </w:rPr>
        <w:t xml:space="preserve"> </w:t>
      </w:r>
    </w:p>
    <w:p w14:paraId="37B346F7"/>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55584221-C79B-4A88-85FC-5DD3F98D940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3C61F965-0DF8-4E61-9574-404595211C1C}"/>
  </w:font>
  <w:font w:name="Droid Sans">
    <w:altName w:val="方正公文小标宋"/>
    <w:panose1 w:val="00000000000000000000"/>
    <w:charset w:val="00"/>
    <w:family w:val="auto"/>
    <w:pitch w:val="default"/>
    <w:sig w:usb0="00000000" w:usb1="00000000" w:usb2="00000000" w:usb3="00000000" w:csb0="00040001" w:csb1="00000000"/>
    <w:embedRegular r:id="rId3" w:fontKey="{6A0D576E-1C22-44A6-891E-674AFEBC048E}"/>
  </w:font>
  <w:font w:name="方正公文小标宋">
    <w:panose1 w:val="02000500000000000000"/>
    <w:charset w:val="86"/>
    <w:family w:val="auto"/>
    <w:pitch w:val="default"/>
    <w:sig w:usb0="A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embedRegular r:id="rId4" w:fontKey="{0B3CF09E-2512-4DFB-A688-76F8470DF07D}"/>
  </w:font>
  <w:font w:name="楷体_GB2312">
    <w:panose1 w:val="02010609030101010101"/>
    <w:charset w:val="86"/>
    <w:family w:val="modern"/>
    <w:pitch w:val="default"/>
    <w:sig w:usb0="00000001" w:usb1="080E0000" w:usb2="00000000" w:usb3="00000000" w:csb0="00040000" w:csb1="00000000"/>
    <w:embedRegular r:id="rId5" w:fontKey="{EE7A7ADB-26BF-4B38-A0B8-229D41E3CD1B}"/>
  </w:font>
  <w:font w:name="方正小标宋简体">
    <w:panose1 w:val="03000509000000000000"/>
    <w:charset w:val="86"/>
    <w:family w:val="auto"/>
    <w:pitch w:val="default"/>
    <w:sig w:usb0="00000001" w:usb1="080E0000" w:usb2="00000000" w:usb3="00000000" w:csb0="00040000" w:csb1="00000000"/>
    <w:embedRegular r:id="rId6" w:fontKey="{746B1F60-8DA5-4676-A5A6-0F774DBEAC7B}"/>
  </w:font>
  <w:font w:name="仿宋_GB2312">
    <w:panose1 w:val="02010609030101010101"/>
    <w:charset w:val="86"/>
    <w:family w:val="modern"/>
    <w:pitch w:val="default"/>
    <w:sig w:usb0="00000001" w:usb1="080E0000" w:usb2="00000000" w:usb3="00000000" w:csb0="00040000" w:csb1="00000000"/>
    <w:embedRegular r:id="rId7" w:fontKey="{DBCBE033-759A-49DE-B0E2-C0F99C1DF6C9}"/>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11A597">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4480EC0">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4480EC0">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14:paraId="6F2F2D47">
    <w:pPr>
      <w:pStyle w:val="5"/>
      <w:ind w:right="360" w:firstLine="360"/>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2E9D19"/>
    <w:multiLevelType w:val="singleLevel"/>
    <w:tmpl w:val="FF2E9D19"/>
    <w:lvl w:ilvl="0" w:tentative="0">
      <w:start w:val="3"/>
      <w:numFmt w:val="chineseCounting"/>
      <w:suff w:val="nothing"/>
      <w:lvlText w:val="（%1）"/>
      <w:lvlJc w:val="left"/>
      <w:rPr>
        <w:rFonts w:hint="eastAsia"/>
      </w:rPr>
    </w:lvl>
  </w:abstractNum>
  <w:abstractNum w:abstractNumId="1">
    <w:nsid w:val="3567DDCB"/>
    <w:multiLevelType w:val="singleLevel"/>
    <w:tmpl w:val="3567DDCB"/>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431F96"/>
    <w:rsid w:val="01922FEF"/>
    <w:rsid w:val="025B253A"/>
    <w:rsid w:val="05D238EA"/>
    <w:rsid w:val="062E4086"/>
    <w:rsid w:val="068E4FE6"/>
    <w:rsid w:val="06BF073C"/>
    <w:rsid w:val="08DB1D8E"/>
    <w:rsid w:val="0A6B10DC"/>
    <w:rsid w:val="0AF17847"/>
    <w:rsid w:val="0C874EE1"/>
    <w:rsid w:val="0E431F96"/>
    <w:rsid w:val="11706758"/>
    <w:rsid w:val="121A5CB9"/>
    <w:rsid w:val="125E4A9B"/>
    <w:rsid w:val="14661880"/>
    <w:rsid w:val="14764EE3"/>
    <w:rsid w:val="153C3ED3"/>
    <w:rsid w:val="1C4B54FA"/>
    <w:rsid w:val="219A0C12"/>
    <w:rsid w:val="221F0FE0"/>
    <w:rsid w:val="25FC5726"/>
    <w:rsid w:val="2A500BB0"/>
    <w:rsid w:val="2BA761FA"/>
    <w:rsid w:val="2C9C632F"/>
    <w:rsid w:val="2D483DC1"/>
    <w:rsid w:val="2D880661"/>
    <w:rsid w:val="2FEA5603"/>
    <w:rsid w:val="301601A6"/>
    <w:rsid w:val="31A517E2"/>
    <w:rsid w:val="31B25CAD"/>
    <w:rsid w:val="32AD68C3"/>
    <w:rsid w:val="37506ECC"/>
    <w:rsid w:val="3EA90437"/>
    <w:rsid w:val="3F4F65F3"/>
    <w:rsid w:val="40097205"/>
    <w:rsid w:val="406025D6"/>
    <w:rsid w:val="413D06A6"/>
    <w:rsid w:val="41FE5C91"/>
    <w:rsid w:val="43157D55"/>
    <w:rsid w:val="459D614F"/>
    <w:rsid w:val="4AAB7AC9"/>
    <w:rsid w:val="4C6163F0"/>
    <w:rsid w:val="51731A47"/>
    <w:rsid w:val="526308B6"/>
    <w:rsid w:val="531D1302"/>
    <w:rsid w:val="55207253"/>
    <w:rsid w:val="55EB0B67"/>
    <w:rsid w:val="59A00A55"/>
    <w:rsid w:val="5A200FE3"/>
    <w:rsid w:val="5C110046"/>
    <w:rsid w:val="5D147594"/>
    <w:rsid w:val="609A2EE9"/>
    <w:rsid w:val="63C05E4E"/>
    <w:rsid w:val="6511270F"/>
    <w:rsid w:val="6758112B"/>
    <w:rsid w:val="6C6A7DCD"/>
    <w:rsid w:val="6CDE7024"/>
    <w:rsid w:val="6EFC4430"/>
    <w:rsid w:val="70F81D2B"/>
    <w:rsid w:val="726B27E7"/>
    <w:rsid w:val="749A119E"/>
    <w:rsid w:val="78B90C9C"/>
    <w:rsid w:val="7B7315D6"/>
    <w:rsid w:val="7B8053BB"/>
    <w:rsid w:val="7CFB1F19"/>
    <w:rsid w:val="7D162B61"/>
    <w:rsid w:val="7D886B12"/>
    <w:rsid w:val="7EE26C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Date"/>
    <w:basedOn w:val="1"/>
    <w:next w:val="1"/>
    <w:qFormat/>
    <w:uiPriority w:val="0"/>
    <w:rPr>
      <w:rFonts w:eastAsia="楷体_GB2312" w:cs="Droid Sans"/>
      <w:sz w:val="32"/>
      <w:szCs w:val="20"/>
      <w:lang w:bidi="ar-SA"/>
    </w:rPr>
  </w:style>
  <w:style w:type="paragraph" w:styleId="5">
    <w:name w:val="footer"/>
    <w:basedOn w:val="1"/>
    <w:qFormat/>
    <w:uiPriority w:val="99"/>
    <w:pPr>
      <w:tabs>
        <w:tab w:val="center" w:pos="4153"/>
        <w:tab w:val="right" w:pos="8306"/>
      </w:tabs>
      <w:snapToGrid w:val="0"/>
      <w:jc w:val="left"/>
    </w:pPr>
    <w:rPr>
      <w:sz w:val="18"/>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2642</Words>
  <Characters>3028</Characters>
  <Lines>0</Lines>
  <Paragraphs>0</Paragraphs>
  <TotalTime>0</TotalTime>
  <ScaleCrop>false</ScaleCrop>
  <LinksUpToDate>false</LinksUpToDate>
  <CharactersWithSpaces>3054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2025-02-10T08:16:00Z</dcterms:created>
  <dc:creator>yd</dc:creator>
  <cp:lastModifiedBy>yd</cp:lastModifiedBy>
  <dcterms:modified xsi:type="dcterms:W3CDTF">2025-02-28T03:25:29Z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3A8E16AE736647919F95A9B302CBB313_11</vt:lpwstr>
  </property>
  <property fmtid="{D5CDD505-2E9C-101B-9397-08002B2CF9AE}" pid="4" name="KSOTemplateDocerSaveRecord">
    <vt:lpwstr>eyJoZGlkIjoiNjllMTQ1N2NiYWJhNmE3MmJmNjczYjE3MmE0Mzc5ZDEiLCJ1c2VySWQiOiIxMjgzMzY4NzkzIn0=</vt:lpwstr>
  </property>
</Properties>
</file>