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北京科技创新研究中心</w:t>
      </w:r>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2025年度单位预算信息公开</w:t>
      </w:r>
    </w:p>
    <w:p>
      <w:pPr>
        <w:spacing w:line="560" w:lineRule="exact"/>
        <w:jc w:val="center"/>
        <w:rPr>
          <w:rFonts w:ascii="方正小标宋简体" w:eastAsia="方正小标宋简体"/>
          <w:color w:val="000000"/>
          <w:sz w:val="44"/>
          <w:szCs w:val="44"/>
        </w:rPr>
      </w:pP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pStyle w:val="3"/>
        <w:rPr>
          <w:color w:val="000000"/>
        </w:rPr>
      </w:pP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pPr>
        <w:pStyle w:val="2"/>
        <w:rPr>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pStyle w:val="3"/>
      </w:pPr>
    </w:p>
    <w:p/>
    <w:p>
      <w:pPr>
        <w:pStyle w:val="2"/>
        <w:ind w:left="0" w:leftChars="0" w:firstLine="0" w:firstLineChars="0"/>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pPr>
        <w:spacing w:line="680" w:lineRule="exact"/>
        <w:jc w:val="center"/>
        <w:rPr>
          <w:rFonts w:ascii="方正小标宋简体" w:eastAsia="方正小标宋简体"/>
          <w:color w:val="000000"/>
          <w:sz w:val="36"/>
          <w:szCs w:val="36"/>
        </w:rPr>
      </w:pP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hAnsi="仿宋" w:eastAsia="仿宋_GB2312"/>
          <w:sz w:val="32"/>
          <w:szCs w:val="32"/>
        </w:rPr>
        <w:t>根据《中共北京市委机构编制委员会办公室关于同意调整市科委所属部分事业单位的函》（京编办事〔2019〕144号）设立北京科技创新研究中心，是市科委所属正处级公益一类事业单位。根据中共北京市委机构编制委员会《关于市科委、中关村管委会所属事业单位改革有关事项的批复》（京编委〔2021〕66号）</w:t>
      </w:r>
      <w:r>
        <w:rPr>
          <w:rFonts w:hint="eastAsia" w:ascii="仿宋_GB2312" w:hAnsi="仿宋" w:eastAsia="仿宋_GB2312"/>
          <w:sz w:val="32"/>
          <w:szCs w:val="32"/>
          <w:lang w:eastAsia="zh-CN"/>
        </w:rPr>
        <w:t>，</w:t>
      </w:r>
      <w:r>
        <w:rPr>
          <w:rFonts w:hint="eastAsia" w:ascii="仿宋_GB2312" w:hAnsi="仿宋" w:eastAsia="仿宋_GB2312"/>
          <w:sz w:val="32"/>
          <w:szCs w:val="32"/>
        </w:rPr>
        <w:t>同意保留北京科技创新研究中心。主要职责为：承担国际科技创新中心、中关村国家自主创新示范区的战略、规划、政策研究工作，科技统计分析和指标监测工作，“三城一区”联系服务等工作。</w:t>
      </w:r>
    </w:p>
    <w:p>
      <w:pPr>
        <w:numPr>
          <w:ilvl w:val="0"/>
          <w:numId w:val="1"/>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w:t>
      </w:r>
    </w:p>
    <w:p>
      <w:pPr>
        <w:spacing w:line="560" w:lineRule="exact"/>
        <w:ind w:firstLine="640" w:firstLineChars="200"/>
        <w:rPr>
          <w:rFonts w:ascii="仿宋_GB2312" w:eastAsia="仿宋_GB2312"/>
          <w:color w:val="FF0000"/>
          <w:sz w:val="32"/>
        </w:rPr>
      </w:pPr>
      <w:r>
        <w:rPr>
          <w:rFonts w:hint="eastAsia" w:ascii="仿宋_GB2312" w:hAnsi="仿宋" w:eastAsia="仿宋_GB2312"/>
          <w:sz w:val="32"/>
          <w:szCs w:val="32"/>
        </w:rPr>
        <w:t>北京科技创新研究中心</w:t>
      </w:r>
      <w:r>
        <w:rPr>
          <w:rFonts w:hint="eastAsia" w:ascii="仿宋_GB2312" w:hAnsi="仿宋" w:eastAsia="仿宋_GB2312"/>
          <w:sz w:val="32"/>
          <w:szCs w:val="32"/>
          <w:lang w:eastAsia="zh-CN"/>
        </w:rPr>
        <w:t>内</w:t>
      </w:r>
      <w:r>
        <w:rPr>
          <w:rFonts w:hint="eastAsia" w:ascii="仿宋_GB2312" w:hAnsi="仿宋" w:eastAsia="仿宋_GB2312"/>
          <w:sz w:val="32"/>
          <w:szCs w:val="32"/>
        </w:rPr>
        <w:t>设</w:t>
      </w:r>
      <w:r>
        <w:rPr>
          <w:rFonts w:ascii="仿宋_GB2312" w:hAnsi="仿宋" w:eastAsia="仿宋_GB2312"/>
          <w:sz w:val="32"/>
          <w:szCs w:val="32"/>
        </w:rPr>
        <w:t>7</w:t>
      </w:r>
      <w:r>
        <w:rPr>
          <w:rFonts w:hint="eastAsia" w:ascii="仿宋_GB2312" w:hAnsi="仿宋" w:eastAsia="仿宋_GB2312"/>
          <w:sz w:val="32"/>
          <w:szCs w:val="32"/>
        </w:rPr>
        <w:t>个部门，分别是综合</w:t>
      </w:r>
      <w:r>
        <w:rPr>
          <w:rFonts w:ascii="仿宋_GB2312" w:hAnsi="仿宋" w:eastAsia="仿宋_GB2312"/>
          <w:sz w:val="32"/>
          <w:szCs w:val="32"/>
        </w:rPr>
        <w:t>管理部</w:t>
      </w:r>
      <w:r>
        <w:rPr>
          <w:rFonts w:hint="eastAsia" w:ascii="仿宋_GB2312" w:hAnsi="仿宋" w:eastAsia="仿宋_GB2312"/>
          <w:sz w:val="32"/>
          <w:szCs w:val="32"/>
        </w:rPr>
        <w:t>、发展研究</w:t>
      </w:r>
      <w:r>
        <w:rPr>
          <w:rFonts w:ascii="仿宋_GB2312" w:hAnsi="仿宋" w:eastAsia="仿宋_GB2312"/>
          <w:sz w:val="32"/>
          <w:szCs w:val="32"/>
        </w:rPr>
        <w:t>部、</w:t>
      </w:r>
      <w:r>
        <w:rPr>
          <w:rFonts w:hint="eastAsia" w:ascii="仿宋_GB2312" w:hAnsi="仿宋" w:eastAsia="仿宋_GB2312"/>
          <w:sz w:val="32"/>
          <w:szCs w:val="32"/>
        </w:rPr>
        <w:t>政策研究</w:t>
      </w:r>
      <w:r>
        <w:rPr>
          <w:rFonts w:ascii="仿宋_GB2312" w:hAnsi="仿宋" w:eastAsia="仿宋_GB2312"/>
          <w:sz w:val="32"/>
          <w:szCs w:val="32"/>
        </w:rPr>
        <w:t>部、</w:t>
      </w:r>
      <w:r>
        <w:rPr>
          <w:rFonts w:hint="eastAsia" w:ascii="仿宋_GB2312" w:hAnsi="仿宋" w:eastAsia="仿宋_GB2312"/>
          <w:sz w:val="32"/>
          <w:szCs w:val="32"/>
        </w:rPr>
        <w:t>决策研究</w:t>
      </w:r>
      <w:r>
        <w:rPr>
          <w:rFonts w:ascii="仿宋_GB2312" w:hAnsi="仿宋" w:eastAsia="仿宋_GB2312"/>
          <w:sz w:val="32"/>
          <w:szCs w:val="32"/>
        </w:rPr>
        <w:t>部、</w:t>
      </w:r>
      <w:r>
        <w:rPr>
          <w:rFonts w:hint="eastAsia" w:ascii="仿宋_GB2312" w:hAnsi="仿宋" w:eastAsia="仿宋_GB2312"/>
          <w:sz w:val="32"/>
          <w:szCs w:val="32"/>
        </w:rPr>
        <w:t>统计分析</w:t>
      </w:r>
      <w:r>
        <w:rPr>
          <w:rFonts w:ascii="仿宋_GB2312" w:hAnsi="仿宋" w:eastAsia="仿宋_GB2312"/>
          <w:sz w:val="32"/>
          <w:szCs w:val="32"/>
        </w:rPr>
        <w:t>部、</w:t>
      </w:r>
      <w:r>
        <w:rPr>
          <w:rFonts w:hint="eastAsia" w:ascii="仿宋_GB2312" w:hAnsi="仿宋" w:eastAsia="仿宋_GB2312"/>
          <w:sz w:val="32"/>
          <w:szCs w:val="32"/>
        </w:rPr>
        <w:t>创新评价部和协调联络</w:t>
      </w:r>
      <w:r>
        <w:rPr>
          <w:rFonts w:ascii="仿宋_GB2312" w:hAnsi="仿宋" w:eastAsia="仿宋_GB2312"/>
          <w:sz w:val="32"/>
          <w:szCs w:val="32"/>
        </w:rPr>
        <w:t>部</w:t>
      </w:r>
      <w:r>
        <w:rPr>
          <w:rFonts w:hint="eastAsia" w:ascii="仿宋_GB2312" w:hAnsi="仿宋" w:eastAsia="仿宋_GB2312"/>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北京科技创新研究中心事业编制51人，实有人数46人</w:t>
      </w:r>
      <w:r>
        <w:rPr>
          <w:rFonts w:hint="eastAsia" w:ascii="仿宋_GB2312" w:hAnsi="仿宋" w:eastAsia="仿宋_GB2312"/>
          <w:sz w:val="32"/>
          <w:szCs w:val="32"/>
          <w:lang w:eastAsia="zh-CN"/>
        </w:rPr>
        <w:t>。</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离退休人员1人，其中：离休0人，退休1人。</w:t>
      </w:r>
    </w:p>
    <w:p>
      <w:pPr>
        <w:numPr>
          <w:ilvl w:val="0"/>
          <w:numId w:val="2"/>
        </w:numPr>
        <w:spacing w:line="560" w:lineRule="exact"/>
        <w:ind w:firstLine="640" w:firstLineChars="200"/>
        <w:rPr>
          <w:rFonts w:ascii="黑体" w:eastAsia="黑体"/>
          <w:color w:val="000000"/>
          <w:sz w:val="32"/>
          <w:szCs w:val="32"/>
        </w:rPr>
      </w:pPr>
      <w:r>
        <w:rPr>
          <w:rFonts w:hint="eastAsia" w:ascii="黑体" w:eastAsia="黑体"/>
          <w:color w:val="000000"/>
          <w:sz w:val="32"/>
          <w:szCs w:val="32"/>
        </w:rPr>
        <w:t>收入预算情况说明</w:t>
      </w:r>
    </w:p>
    <w:p>
      <w:pPr>
        <w:spacing w:line="560" w:lineRule="exact"/>
        <w:ind w:firstLine="640" w:firstLineChars="200"/>
        <w:rPr>
          <w:rFonts w:ascii="仿宋_GB2312" w:eastAsia="仿宋_GB2312"/>
          <w:sz w:val="32"/>
        </w:rPr>
      </w:pPr>
      <w:r>
        <w:rPr>
          <w:rFonts w:hint="eastAsia" w:ascii="仿宋_GB2312" w:eastAsia="仿宋_GB2312"/>
          <w:sz w:val="32"/>
          <w:szCs w:val="32"/>
        </w:rPr>
        <w:t>2025年度收入预算2,037.76万元，比2024年年初预算数2,182.14万元减少144.38万元，下降</w:t>
      </w:r>
      <w:r>
        <w:rPr>
          <w:rFonts w:hint="eastAsia" w:ascii="仿宋_GB2312" w:hAnsi="仿宋_GB2312" w:eastAsia="仿宋_GB2312" w:cs="仿宋_GB2312"/>
          <w:sz w:val="32"/>
          <w:szCs w:val="32"/>
        </w:rPr>
        <w:t>6.62</w:t>
      </w:r>
      <w:r>
        <w:rPr>
          <w:rFonts w:hint="eastAsia" w:ascii="仿宋_GB2312" w:eastAsia="仿宋_GB2312"/>
          <w:sz w:val="32"/>
          <w:szCs w:val="32"/>
        </w:rPr>
        <w:t>%。</w:t>
      </w:r>
      <w:r>
        <w:rPr>
          <w:rFonts w:hint="eastAsia" w:ascii="仿宋_GB2312" w:eastAsia="仿宋_GB2312"/>
          <w:color w:val="auto"/>
          <w:sz w:val="32"/>
          <w:szCs w:val="32"/>
          <w:highlight w:val="none"/>
        </w:rPr>
        <w:t>主要原因</w:t>
      </w:r>
      <w:r>
        <w:rPr>
          <w:rFonts w:hint="eastAsia" w:ascii="仿宋_GB2312" w:eastAsia="仿宋_GB2312"/>
          <w:color w:val="auto"/>
          <w:sz w:val="32"/>
          <w:szCs w:val="32"/>
          <w:highlight w:val="none"/>
          <w:lang w:val="en-US" w:eastAsia="zh-CN"/>
        </w:rPr>
        <w:t>是根据工作安排，减少机构运行等方面的经费预算</w:t>
      </w:r>
      <w:r>
        <w:rPr>
          <w:rFonts w:hint="eastAsia" w:ascii="仿宋_GB2312" w:eastAsia="仿宋_GB2312"/>
          <w:sz w:val="32"/>
          <w:szCs w:val="32"/>
        </w:rPr>
        <w:t>。</w:t>
      </w:r>
      <w:r>
        <w:rPr>
          <w:rFonts w:ascii="仿宋_GB2312" w:eastAsia="仿宋_GB2312"/>
          <w:sz w:val="32"/>
        </w:rPr>
        <w:t xml:space="preserve"> </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（一）本年财政拨款收入2,037.76万元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hint="eastAsia" w:ascii="楷体_GB2312" w:eastAsia="楷体_GB2312"/>
          <w:sz w:val="32"/>
          <w:szCs w:val="32"/>
        </w:rPr>
        <w:t>2,037.76</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（三）上年结转结余0.00万元</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10.上年结转结余0.00万元。</w:t>
      </w:r>
    </w:p>
    <w:p>
      <w:pPr>
        <w:pStyle w:val="2"/>
        <w:ind w:left="3518" w:leftChars="304" w:hanging="2880" w:hangingChars="900"/>
        <w:rPr>
          <w:sz w:val="32"/>
        </w:rPr>
      </w:pPr>
    </w:p>
    <w:p>
      <w:pPr>
        <w:pStyle w:val="2"/>
        <w:ind w:left="2528" w:leftChars="304" w:hanging="1890" w:hangingChars="900"/>
        <w:rPr>
          <w:sz w:val="32"/>
        </w:rPr>
      </w:pPr>
      <w:r>
        <w:drawing>
          <wp:inline distT="0" distB="0" distL="114300" distR="114300">
            <wp:extent cx="4404995" cy="2435860"/>
            <wp:effectExtent l="5080" t="4445" r="9525" b="1714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ind w:left="3518" w:leftChars="304" w:hanging="2880" w:hangingChars="900"/>
        <w:jc w:val="center"/>
        <w:rPr>
          <w:rFonts w:ascii="仿宋_GB2312" w:eastAsia="仿宋_GB2312"/>
          <w:b w:val="0"/>
          <w:bCs w:val="0"/>
          <w:sz w:val="32"/>
        </w:rPr>
      </w:pPr>
      <w:r>
        <w:rPr>
          <w:rFonts w:hint="eastAsia" w:ascii="仿宋_GB2312" w:eastAsia="仿宋_GB2312"/>
          <w:sz w:val="32"/>
        </w:rPr>
        <w:t>图1：收入预算</w:t>
      </w:r>
    </w:p>
    <w:p>
      <w:pPr>
        <w:spacing w:line="560" w:lineRule="exact"/>
        <w:ind w:firstLine="640" w:firstLineChars="200"/>
        <w:rPr>
          <w:rFonts w:hint="eastAsia" w:ascii="黑体" w:eastAsia="黑体"/>
          <w:sz w:val="32"/>
          <w:szCs w:val="32"/>
        </w:rPr>
      </w:pPr>
      <w:bookmarkStart w:id="0" w:name="_GoBack"/>
      <w:bookmarkEnd w:id="0"/>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2025年支出预算2,037.76万元，比2024年年初预算数2,182.14万元减少144.38万元，下降6.62%。</w:t>
      </w:r>
      <w:r>
        <w:rPr>
          <w:rFonts w:hint="eastAsia" w:ascii="仿宋_GB2312" w:eastAsia="仿宋_GB2312"/>
          <w:sz w:val="32"/>
          <w:szCs w:val="32"/>
          <w:highlight w:val="none"/>
        </w:rPr>
        <w:t>主要原因</w:t>
      </w:r>
      <w:r>
        <w:rPr>
          <w:rFonts w:hint="eastAsia" w:ascii="仿宋_GB2312" w:eastAsia="仿宋_GB2312"/>
          <w:sz w:val="32"/>
          <w:szCs w:val="32"/>
          <w:highlight w:val="none"/>
          <w:lang w:val="en-US" w:eastAsia="zh-CN"/>
        </w:rPr>
        <w:t>是</w:t>
      </w:r>
      <w:r>
        <w:rPr>
          <w:rFonts w:hint="eastAsia" w:ascii="仿宋_GB2312" w:eastAsia="仿宋_GB2312"/>
          <w:sz w:val="32"/>
          <w:szCs w:val="32"/>
        </w:rPr>
        <w:t>根据实际需求，调整了相应的人员经费支出。</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基本支出预算1,828.00万元，占本年支出预算89.71%，比2024年年初预算数1,964.54万元减少136.54万元，下降6.95%。</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项目支出预算209.76万元，比2024年年初预算数217.59万元减少7.83万元，下降3.60%。其中：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3.对附属单位补助支出0.00万元。</w:t>
      </w:r>
    </w:p>
    <w:p>
      <w:pPr>
        <w:pStyle w:val="3"/>
        <w:jc w:val="both"/>
      </w:pPr>
      <w:r>
        <w:rPr>
          <w:rFonts w:hint="eastAsia"/>
        </w:rPr>
        <w:drawing>
          <wp:inline distT="0" distB="0" distL="0" distR="0">
            <wp:extent cx="5228590" cy="2314575"/>
            <wp:effectExtent l="5080" t="4445" r="5080" b="508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3"/>
        <w:ind w:firstLine="642"/>
        <w:jc w:val="center"/>
        <w:rPr>
          <w:sz w:val="32"/>
        </w:rPr>
      </w:pPr>
      <w:r>
        <w:rPr>
          <w:rFonts w:hint="eastAsia" w:ascii="仿宋_GB2312" w:eastAsia="仿宋_GB2312"/>
          <w:sz w:val="32"/>
        </w:rPr>
        <w:t>图2：基本支出和项目支出情况</w:t>
      </w:r>
    </w:p>
    <w:p>
      <w:pPr>
        <w:numPr>
          <w:ilvl w:val="0"/>
          <w:numId w:val="3"/>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年终结转结余资金0.00万元。</w:t>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北京科技创新研究中心因公出国（境）费用、公务接待费、公务用车购置和运行维护费开支单位包括1个</w:t>
      </w:r>
      <w:r>
        <w:rPr>
          <w:rFonts w:hint="eastAsia" w:ascii="仿宋_GB2312" w:eastAsia="仿宋_GB2312"/>
          <w:sz w:val="32"/>
          <w:szCs w:val="32"/>
          <w:lang w:val="en-US" w:eastAsia="zh-CN"/>
        </w:rPr>
        <w:t>事业</w:t>
      </w:r>
      <w:r>
        <w:rPr>
          <w:rFonts w:hint="eastAsia" w:ascii="仿宋_GB2312" w:eastAsia="仿宋_GB2312"/>
          <w:sz w:val="32"/>
          <w:szCs w:val="32"/>
        </w:rPr>
        <w:t>单位。</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2025年财政拨款“三公”经费预算0.29万元，</w:t>
      </w:r>
      <w:r>
        <w:rPr>
          <w:rFonts w:hint="eastAsia" w:ascii="仿宋_GB2312" w:eastAsia="仿宋_GB2312"/>
          <w:color w:val="auto"/>
          <w:sz w:val="32"/>
          <w:szCs w:val="32"/>
          <w:u w:val="none"/>
          <w:lang w:val="en-US" w:eastAsia="zh-CN"/>
        </w:rPr>
        <w:t>与</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财政拨款</w:t>
      </w:r>
      <w:r>
        <w:rPr>
          <w:rFonts w:hint="eastAsia" w:ascii="仿宋_GB2312" w:eastAsia="仿宋_GB2312"/>
          <w:color w:val="auto"/>
          <w:sz w:val="32"/>
          <w:szCs w:val="32"/>
          <w:u w:val="none"/>
        </w:rPr>
        <w:t>“三公”</w:t>
      </w:r>
      <w:r>
        <w:rPr>
          <w:rFonts w:hint="eastAsia" w:ascii="仿宋_GB2312" w:eastAsia="仿宋_GB2312"/>
          <w:color w:val="auto"/>
          <w:sz w:val="32"/>
          <w:szCs w:val="32"/>
          <w:u w:val="none"/>
          <w:lang w:val="en-US" w:eastAsia="zh-CN"/>
        </w:rPr>
        <w:t>经费</w:t>
      </w:r>
      <w:r>
        <w:rPr>
          <w:rFonts w:hint="eastAsia" w:ascii="仿宋_GB2312" w:eastAsia="仿宋_GB2312"/>
          <w:color w:val="auto"/>
          <w:sz w:val="32"/>
          <w:szCs w:val="32"/>
          <w:u w:val="none"/>
        </w:rPr>
        <w:t>预算</w:t>
      </w:r>
      <w:r>
        <w:rPr>
          <w:rFonts w:hint="eastAsia" w:ascii="仿宋_GB2312" w:eastAsia="仿宋_GB2312"/>
          <w:color w:val="auto"/>
          <w:sz w:val="32"/>
          <w:szCs w:val="32"/>
          <w:u w:val="none"/>
          <w:lang w:val="en-US" w:eastAsia="zh-CN"/>
        </w:rPr>
        <w:t>0.29万元持平。</w:t>
      </w:r>
      <w:r>
        <w:rPr>
          <w:rFonts w:hint="eastAsia" w:ascii="仿宋_GB2312" w:eastAsia="仿宋_GB2312"/>
          <w:sz w:val="32"/>
          <w:szCs w:val="32"/>
        </w:rPr>
        <w:t>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1.因公出国（境）费用。2025年预算数0.00万元</w:t>
      </w:r>
      <w:r>
        <w:rPr>
          <w:rFonts w:hint="eastAsia" w:ascii="仿宋_GB2312" w:eastAsia="仿宋_GB2312"/>
          <w:sz w:val="32"/>
          <w:szCs w:val="32"/>
          <w:lang w:eastAsia="zh-CN"/>
        </w:rPr>
        <w:t>，</w:t>
      </w:r>
      <w:r>
        <w:rPr>
          <w:rFonts w:hint="eastAsia" w:ascii="仿宋_GB2312" w:eastAsia="仿宋_GB2312"/>
          <w:sz w:val="32"/>
          <w:szCs w:val="32"/>
        </w:rPr>
        <w:t>与2024</w:t>
      </w:r>
      <w:r>
        <w:rPr>
          <w:rFonts w:hint="eastAsia" w:ascii="仿宋_GB2312" w:eastAsia="仿宋_GB2312"/>
          <w:sz w:val="32"/>
          <w:szCs w:val="32"/>
          <w:lang w:eastAsia="zh-CN"/>
        </w:rPr>
        <w:t>年年初预算数</w:t>
      </w:r>
      <w:r>
        <w:rPr>
          <w:rFonts w:hint="eastAsia" w:ascii="仿宋_GB2312" w:eastAsia="仿宋_GB2312"/>
          <w:sz w:val="32"/>
          <w:szCs w:val="32"/>
          <w:lang w:val="en-US" w:eastAsia="zh-CN"/>
        </w:rPr>
        <w:t>0.00万元</w:t>
      </w:r>
      <w:r>
        <w:rPr>
          <w:rFonts w:hint="eastAsia" w:ascii="仿宋_GB2312" w:eastAsia="仿宋_GB2312"/>
          <w:sz w:val="32"/>
          <w:szCs w:val="32"/>
        </w:rPr>
        <w:t>持平。</w:t>
      </w:r>
    </w:p>
    <w:p>
      <w:pPr>
        <w:spacing w:line="560" w:lineRule="exact"/>
        <w:ind w:firstLine="640" w:firstLineChars="200"/>
        <w:rPr>
          <w:rFonts w:hint="eastAsia" w:ascii="仿宋_GB2312" w:eastAsia="仿宋_GB2312"/>
          <w:color w:val="C00000"/>
          <w:sz w:val="32"/>
          <w:szCs w:val="32"/>
          <w:lang w:eastAsia="zh-CN"/>
        </w:rPr>
      </w:pPr>
      <w:r>
        <w:rPr>
          <w:rFonts w:hint="eastAsia" w:ascii="仿宋_GB2312" w:eastAsia="仿宋_GB2312"/>
          <w:sz w:val="32"/>
          <w:szCs w:val="32"/>
        </w:rPr>
        <w:t>2.公务接待费。2025年预算数0.29万元，与2024</w:t>
      </w:r>
      <w:r>
        <w:rPr>
          <w:rFonts w:hint="eastAsia" w:ascii="仿宋_GB2312" w:eastAsia="仿宋_GB2312"/>
          <w:sz w:val="32"/>
          <w:szCs w:val="32"/>
          <w:lang w:eastAsia="zh-CN"/>
        </w:rPr>
        <w:t>年年初预算数</w:t>
      </w:r>
      <w:r>
        <w:rPr>
          <w:rFonts w:hint="eastAsia" w:ascii="仿宋_GB2312" w:eastAsia="仿宋_GB2312"/>
          <w:sz w:val="32"/>
          <w:szCs w:val="32"/>
          <w:lang w:val="en-US" w:eastAsia="zh-CN"/>
        </w:rPr>
        <w:t>0.29万元</w:t>
      </w:r>
      <w:r>
        <w:rPr>
          <w:rFonts w:hint="eastAsia" w:ascii="仿宋_GB2312" w:eastAsia="仿宋_GB2312"/>
          <w:sz w:val="32"/>
          <w:szCs w:val="32"/>
        </w:rPr>
        <w:t>持平</w:t>
      </w:r>
      <w:r>
        <w:rPr>
          <w:rFonts w:hint="eastAsia" w:ascii="仿宋_GB2312" w:eastAsia="仿宋_GB2312"/>
          <w:sz w:val="32"/>
          <w:szCs w:val="32"/>
          <w:lang w:eastAsia="zh-CN"/>
        </w:rPr>
        <w:t>。</w:t>
      </w:r>
    </w:p>
    <w:p>
      <w:pPr>
        <w:spacing w:line="540" w:lineRule="exact"/>
        <w:ind w:firstLine="640" w:firstLineChars="200"/>
        <w:rPr>
          <w:rFonts w:hint="eastAsia" w:ascii="仿宋_GB2312" w:eastAsia="仿宋_GB2312"/>
          <w:color w:val="C00000"/>
          <w:sz w:val="32"/>
          <w:szCs w:val="32"/>
          <w:lang w:eastAsia="zh-CN"/>
        </w:rPr>
      </w:pPr>
      <w:r>
        <w:rPr>
          <w:rFonts w:hint="eastAsia" w:ascii="仿宋_GB2312" w:eastAsia="仿宋_GB2312"/>
          <w:sz w:val="32"/>
          <w:szCs w:val="32"/>
        </w:rPr>
        <w:t>3.公务用车购置和运行维护费。2025年预算数0.00万元，与2024</w:t>
      </w:r>
      <w:r>
        <w:rPr>
          <w:rFonts w:hint="eastAsia" w:ascii="仿宋_GB2312" w:eastAsia="仿宋_GB2312"/>
          <w:sz w:val="32"/>
          <w:szCs w:val="32"/>
          <w:lang w:eastAsia="zh-CN"/>
        </w:rPr>
        <w:t>年年初预算数</w:t>
      </w:r>
      <w:r>
        <w:rPr>
          <w:rFonts w:hint="eastAsia" w:ascii="仿宋_GB2312" w:eastAsia="仿宋_GB2312"/>
          <w:sz w:val="32"/>
          <w:szCs w:val="32"/>
          <w:lang w:val="en-US" w:eastAsia="zh-CN"/>
        </w:rPr>
        <w:t>0.00万元</w:t>
      </w:r>
      <w:r>
        <w:rPr>
          <w:rFonts w:hint="eastAsia" w:ascii="仿宋_GB2312" w:eastAsia="仿宋_GB2312"/>
          <w:sz w:val="32"/>
          <w:szCs w:val="32"/>
        </w:rPr>
        <w:t>持平</w:t>
      </w:r>
      <w:r>
        <w:rPr>
          <w:rFonts w:hint="eastAsia" w:ascii="仿宋_GB2312" w:eastAsia="仿宋_GB2312"/>
          <w:sz w:val="32"/>
          <w:szCs w:val="32"/>
          <w:lang w:eastAsia="zh-CN"/>
        </w:rPr>
        <w:t>。</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楷体_GB2312" w:eastAsia="楷体_GB2312"/>
          <w:sz w:val="32"/>
          <w:szCs w:val="32"/>
        </w:rPr>
      </w:pPr>
      <w:r>
        <w:rPr>
          <w:rFonts w:hint="eastAsia" w:ascii="仿宋_GB2312" w:eastAsia="仿宋_GB2312"/>
          <w:sz w:val="32"/>
          <w:szCs w:val="32"/>
        </w:rPr>
        <w:t>2025年北京科技创新研究中心政府采购预算总额67.35万元，其中：政府采购货物预算2.97万元，政府采购工程预算0.00万元，政府采购服务预算64.38万元。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color w:val="auto"/>
          <w:sz w:val="32"/>
          <w:szCs w:val="32"/>
        </w:rPr>
      </w:pPr>
      <w:r>
        <w:rPr>
          <w:rFonts w:ascii="仿宋_GB2312" w:hAnsi="宋体" w:eastAsia="仿宋_GB2312" w:cs="宋体"/>
          <w:color w:val="auto"/>
          <w:kern w:val="0"/>
          <w:sz w:val="32"/>
          <w:szCs w:val="32"/>
        </w:rPr>
        <w:t>本单位不属于政府购买服务购买主体</w:t>
      </w:r>
      <w:r>
        <w:rPr>
          <w:rFonts w:hint="eastAsia" w:ascii="仿宋_GB2312" w:hAnsi="宋体" w:eastAsia="仿宋_GB2312" w:cs="宋体"/>
          <w:color w:val="auto"/>
          <w:kern w:val="0"/>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color w:val="C00000"/>
          <w:sz w:val="32"/>
        </w:rPr>
      </w:pPr>
      <w:r>
        <w:rPr>
          <w:rFonts w:hint="eastAsia" w:ascii="仿宋_GB2312" w:eastAsia="仿宋_GB2312"/>
          <w:color w:val="auto"/>
          <w:sz w:val="32"/>
          <w:szCs w:val="32"/>
          <w:lang w:eastAsia="zh-CN"/>
        </w:rPr>
        <w:t>本</w:t>
      </w:r>
      <w:r>
        <w:rPr>
          <w:rFonts w:hint="eastAsia" w:ascii="仿宋_GB2312" w:eastAsia="仿宋_GB2312"/>
          <w:color w:val="auto"/>
          <w:sz w:val="32"/>
          <w:szCs w:val="32"/>
        </w:rPr>
        <w:t>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2025年，北京科技创新研究中心填报绩效目标的预算项目3个，占本单位本年预算项目3个的100%。填报绩效目标的项目支出预算209.76万元，占本单位本年项目支出预算的100%</w:t>
      </w:r>
      <w:r>
        <w:rPr>
          <w:rFonts w:hint="eastAsia" w:ascii="仿宋_GB2312" w:eastAsia="仿宋_GB2312"/>
          <w:sz w:val="32"/>
          <w:szCs w:val="32"/>
          <w:lang w:eastAsia="zh-CN"/>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本单位2025年无重点行政事业性收费。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截至2024年底，北京科技创新研究中心共有车辆0台，共计0.00万元；单位价值50万元以上的设备0台（套）</w:t>
      </w:r>
      <w:r>
        <w:rPr>
          <w:rFonts w:hint="eastAsia" w:ascii="仿宋_GB2312" w:eastAsia="仿宋_GB2312"/>
          <w:color w:val="000000"/>
          <w:sz w:val="32"/>
          <w:szCs w:val="32"/>
          <w:lang w:eastAsia="zh-CN"/>
        </w:rPr>
        <w:t>，</w:t>
      </w:r>
      <w:r>
        <w:rPr>
          <w:rFonts w:hint="eastAsia" w:ascii="仿宋_GB2312" w:eastAsia="仿宋_GB2312"/>
          <w:color w:val="000000"/>
          <w:sz w:val="32"/>
          <w:szCs w:val="32"/>
        </w:rPr>
        <w:t>共计0.00万元。2025年预算安排中，购置单位价值50万元以上的设备0台（套），共计0.00万元。</w:t>
      </w:r>
    </w:p>
    <w:p>
      <w:pPr>
        <w:numPr>
          <w:ilvl w:val="0"/>
          <w:numId w:val="4"/>
        </w:numPr>
        <w:spacing w:line="560" w:lineRule="exact"/>
        <w:ind w:firstLine="640" w:firstLineChars="200"/>
        <w:rPr>
          <w:rFonts w:hint="eastAsia" w:ascii="黑体" w:eastAsia="黑体"/>
          <w:color w:val="000000"/>
          <w:sz w:val="32"/>
          <w:szCs w:val="32"/>
        </w:rPr>
      </w:pPr>
      <w:r>
        <w:rPr>
          <w:rFonts w:hint="eastAsia" w:ascii="黑体" w:eastAsia="黑体"/>
          <w:color w:val="000000"/>
          <w:sz w:val="32"/>
          <w:szCs w:val="32"/>
        </w:rPr>
        <w:t>名词解释</w:t>
      </w:r>
    </w:p>
    <w:p>
      <w:pPr>
        <w:numPr>
          <w:ilvl w:val="0"/>
          <w:numId w:val="0"/>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u w:val="none"/>
        </w:rPr>
        <w:t>“三公”经费财政拨款预算数：指本</w:t>
      </w:r>
      <w:r>
        <w:rPr>
          <w:rFonts w:hint="eastAsia" w:ascii="仿宋_GB2312" w:eastAsia="仿宋_GB2312"/>
          <w:color w:val="000000"/>
          <w:sz w:val="32"/>
          <w:szCs w:val="32"/>
          <w:u w:val="none"/>
          <w:lang w:val="en-US" w:eastAsia="zh-CN"/>
        </w:rPr>
        <w:t>单位</w:t>
      </w:r>
      <w:r>
        <w:rPr>
          <w:rFonts w:hint="eastAsia" w:ascii="仿宋_GB2312" w:eastAsia="仿宋_GB2312"/>
          <w:color w:val="000000"/>
          <w:sz w:val="32"/>
          <w:szCs w:val="32"/>
          <w:u w:val="none"/>
        </w:rPr>
        <w:t>当年部门预算</w:t>
      </w:r>
      <w:r>
        <w:rPr>
          <w:rFonts w:hint="eastAsia" w:ascii="仿宋_GB2312" w:eastAsia="仿宋_GB2312"/>
          <w:color w:val="000000"/>
          <w:sz w:val="32"/>
          <w:szCs w:val="32"/>
          <w:u w:val="none"/>
          <w:lang w:eastAsia="zh-CN"/>
        </w:rPr>
        <w:t>中财政拨款</w:t>
      </w:r>
      <w:r>
        <w:rPr>
          <w:rFonts w:hint="eastAsia" w:ascii="仿宋_GB2312" w:eastAsia="仿宋_GB2312"/>
          <w:color w:val="000000"/>
          <w:sz w:val="32"/>
          <w:szCs w:val="32"/>
          <w:u w:val="none"/>
        </w:rPr>
        <w:t>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pPr>
        <w:spacing w:line="560" w:lineRule="exact"/>
        <w:ind w:firstLine="640" w:firstLineChars="200"/>
        <w:rPr>
          <w:rFonts w:hint="eastAsia"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附件：北京科技创新研究中心2025年度单位预算报表</w:t>
      </w:r>
      <w:r>
        <w:rPr>
          <w:rFonts w:hint="eastAsia" w:ascii="仿宋_GB2312" w:eastAsia="仿宋_GB2312" w:cs="宋体"/>
          <w:color w:val="000000"/>
          <w:kern w:val="0"/>
          <w:sz w:val="32"/>
          <w:szCs w:val="32"/>
          <w:lang w:val="zh-CN"/>
        </w:rPr>
        <w:t xml:space="preserve"> </w:t>
      </w: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宋体"/>
    <w:panose1 w:val="00000000000000000000"/>
    <w:charset w:val="00"/>
    <w:family w:val="auto"/>
    <w:pitch w:val="default"/>
    <w:sig w:usb0="00000000" w:usb1="00000000" w:usb2="00000000" w:usb3="00000000" w:csb0="00040001" w:csb1="00000000"/>
  </w:font>
  <w:font w:name="Cambria">
    <w:altName w:val="Noto Sans Syriac Eastern"/>
    <w:panose1 w:val="02040503050406030204"/>
    <w:charset w:val="00"/>
    <w:family w:val="roman"/>
    <w:pitch w:val="default"/>
    <w:sig w:usb0="00000000" w:usb1="00000000"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Calibri Light">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VDuIW6gBAABCAwAADgAAAAAAAAABACAAAAA0AQAAZHJzL2Uyb0RvYy54bWxQSwUGAAAA&#10;AAYABgBZAQAATgUAAAAA&#10;">
              <v:fill on="f" focussize="0,0"/>
              <v:stroke on="f"/>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3567DDCB"/>
    <w:multiLevelType w:val="singleLevel"/>
    <w:tmpl w:val="3567DDCB"/>
    <w:lvl w:ilvl="0" w:tentative="0">
      <w:start w:val="2"/>
      <w:numFmt w:val="chineseCounting"/>
      <w:suff w:val="nothing"/>
      <w:lvlText w:val="（%1）"/>
      <w:lvlJc w:val="left"/>
      <w:rPr>
        <w:rFonts w:hint="eastAsia"/>
      </w:rPr>
    </w:lvl>
  </w:abstractNum>
  <w:abstractNum w:abstractNumId="2">
    <w:nsid w:val="37FC7652"/>
    <w:multiLevelType w:val="singleLevel"/>
    <w:tmpl w:val="37FC7652"/>
    <w:lvl w:ilvl="0" w:tentative="0">
      <w:start w:val="6"/>
      <w:numFmt w:val="chineseCounting"/>
      <w:suff w:val="nothing"/>
      <w:lvlText w:val="%1、"/>
      <w:lvlJc w:val="left"/>
      <w:rPr>
        <w:rFonts w:hint="eastAsia"/>
      </w:rPr>
    </w:lvl>
  </w:abstractNum>
  <w:abstractNum w:abstractNumId="3">
    <w:nsid w:val="6EBCBE14"/>
    <w:multiLevelType w:val="singleLevel"/>
    <w:tmpl w:val="6EBCBE14"/>
    <w:lvl w:ilvl="0" w:tentative="0">
      <w:start w:val="2"/>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03575FA"/>
    <w:rsid w:val="00621089"/>
    <w:rsid w:val="00915419"/>
    <w:rsid w:val="02F05CEF"/>
    <w:rsid w:val="03EF3A93"/>
    <w:rsid w:val="0C874EE1"/>
    <w:rsid w:val="0E431F96"/>
    <w:rsid w:val="10B262A5"/>
    <w:rsid w:val="121A5CB9"/>
    <w:rsid w:val="13650791"/>
    <w:rsid w:val="14640AB3"/>
    <w:rsid w:val="21D37262"/>
    <w:rsid w:val="224D5598"/>
    <w:rsid w:val="2492046F"/>
    <w:rsid w:val="25FC5726"/>
    <w:rsid w:val="2D483DC1"/>
    <w:rsid w:val="2E7A4622"/>
    <w:rsid w:val="323E3DCB"/>
    <w:rsid w:val="37506ECC"/>
    <w:rsid w:val="38E86458"/>
    <w:rsid w:val="3B31FADD"/>
    <w:rsid w:val="3BDBFF5C"/>
    <w:rsid w:val="3BEE3FF9"/>
    <w:rsid w:val="3BFBD840"/>
    <w:rsid w:val="3F4F65F3"/>
    <w:rsid w:val="3FFF237E"/>
    <w:rsid w:val="40097205"/>
    <w:rsid w:val="40387CC5"/>
    <w:rsid w:val="40467C78"/>
    <w:rsid w:val="459D614F"/>
    <w:rsid w:val="4BC06F7A"/>
    <w:rsid w:val="4CA85525"/>
    <w:rsid w:val="4ED274BE"/>
    <w:rsid w:val="4FB3B091"/>
    <w:rsid w:val="526308B6"/>
    <w:rsid w:val="531D1302"/>
    <w:rsid w:val="57BE68AA"/>
    <w:rsid w:val="59501CE2"/>
    <w:rsid w:val="59A00A55"/>
    <w:rsid w:val="5A200FE3"/>
    <w:rsid w:val="5D147594"/>
    <w:rsid w:val="5E1F2F31"/>
    <w:rsid w:val="5F79DB6D"/>
    <w:rsid w:val="5FF6D255"/>
    <w:rsid w:val="63C05E4E"/>
    <w:rsid w:val="6894168D"/>
    <w:rsid w:val="68BC4392"/>
    <w:rsid w:val="6A7259FE"/>
    <w:rsid w:val="6AF5CE6D"/>
    <w:rsid w:val="6B7F999E"/>
    <w:rsid w:val="6D1E688E"/>
    <w:rsid w:val="6DEDA8AA"/>
    <w:rsid w:val="6EBB7BBA"/>
    <w:rsid w:val="6F377EC6"/>
    <w:rsid w:val="6FD93B0B"/>
    <w:rsid w:val="70F81D2B"/>
    <w:rsid w:val="726B27E7"/>
    <w:rsid w:val="73B76B77"/>
    <w:rsid w:val="777E0BB6"/>
    <w:rsid w:val="77BF329F"/>
    <w:rsid w:val="78682384"/>
    <w:rsid w:val="7BBCFBEA"/>
    <w:rsid w:val="7CFA5864"/>
    <w:rsid w:val="7CFB1F19"/>
    <w:rsid w:val="7D886B12"/>
    <w:rsid w:val="7EAF75EB"/>
    <w:rsid w:val="7EF9C9EF"/>
    <w:rsid w:val="8AAF34FD"/>
    <w:rsid w:val="A57F85F5"/>
    <w:rsid w:val="AFFAA9F8"/>
    <w:rsid w:val="B2D6B4FC"/>
    <w:rsid w:val="B9DB0875"/>
    <w:rsid w:val="D4B7474F"/>
    <w:rsid w:val="D74F1531"/>
    <w:rsid w:val="DDFF41AF"/>
    <w:rsid w:val="EBEF6D30"/>
    <w:rsid w:val="EF671AFD"/>
    <w:rsid w:val="EFF815A1"/>
    <w:rsid w:val="FAA79D5F"/>
    <w:rsid w:val="FBFB43BD"/>
    <w:rsid w:val="FEEF6090"/>
    <w:rsid w:val="FFDBB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annotation text"/>
    <w:basedOn w:val="1"/>
    <w:qFormat/>
    <w:uiPriority w:val="0"/>
    <w:pPr>
      <w:jc w:val="left"/>
    </w:pPr>
  </w:style>
  <w:style w:type="paragraph" w:styleId="5">
    <w:name w:val="Date"/>
    <w:basedOn w:val="1"/>
    <w:next w:val="1"/>
    <w:qFormat/>
    <w:uiPriority w:val="0"/>
    <w:rPr>
      <w:rFonts w:eastAsia="楷体_GB2312"/>
      <w:sz w:val="32"/>
      <w:szCs w:val="20"/>
    </w:rPr>
  </w:style>
  <w:style w:type="paragraph" w:styleId="6">
    <w:name w:val="footer"/>
    <w:basedOn w:val="1"/>
    <w:qFormat/>
    <w:uiPriority w:val="99"/>
    <w:pPr>
      <w:tabs>
        <w:tab w:val="center" w:pos="4153"/>
        <w:tab w:val="right" w:pos="8306"/>
      </w:tabs>
      <w:snapToGrid w:val="0"/>
      <w:jc w:val="left"/>
    </w:pPr>
    <w:rPr>
      <w:sz w:val="18"/>
      <w:szCs w:val="20"/>
    </w:rPr>
  </w:style>
  <w:style w:type="character" w:styleId="9">
    <w:name w:val="annotation reference"/>
    <w:basedOn w:val="8"/>
    <w:qFormat/>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a:t>收入预算</a:t>
            </a:r>
            <a:r>
              <a:rPr lang="zh-CN"/>
              <a:t> </a:t>
            </a:r>
            <a:endParaRPr lang="zh-CN"/>
          </a:p>
        </c:rich>
      </c:tx>
      <c:layout/>
      <c:overlay val="false"/>
    </c:title>
    <c:autoTitleDeleted val="false"/>
    <c:plotArea>
      <c:layout>
        <c:manualLayout>
          <c:layoutTarget val="inner"/>
          <c:xMode val="edge"/>
          <c:yMode val="edge"/>
          <c:x val="0.195586928468214"/>
          <c:y val="0.167871480875619"/>
          <c:w val="0.500913562216504"/>
          <c:h val="0.818056596243428"/>
        </c:manualLayout>
      </c:layout>
      <c:pieChart>
        <c:varyColors val="true"/>
        <c:ser>
          <c:idx val="0"/>
          <c:order val="0"/>
          <c:tx>
            <c:strRef>
              <c:f>'图5--收入、支出结构'!$C$1:$C$2</c:f>
              <c:strCache>
                <c:ptCount val="1"/>
                <c:pt idx="0">
                  <c:v>收入预算 决算数</c:v>
                </c:pt>
              </c:strCache>
            </c:strRef>
          </c:tx>
          <c:explosion val="25"/>
          <c:dPt>
            <c:idx val="0"/>
            <c:bubble3D val="false"/>
            <c:explosion val="0"/>
          </c:dPt>
          <c:dLbls>
            <c:dLbl>
              <c:idx val="0"/>
              <c:layout>
                <c:manualLayout>
                  <c:x val="0.00446395836298476"/>
                  <c:y val="-0.214528010789677"/>
                </c:manualLayout>
              </c:layout>
              <c:numFmt formatCode="0.00%" sourceLinked="false"/>
              <c:spPr>
                <a:noFill/>
                <a:ln>
                  <a:noFill/>
                </a:ln>
                <a:effectLst/>
              </c:spPr>
              <c:txPr>
                <a:bodyPr rot="0" spcFirstLastPara="0" vertOverflow="ellipsis" vert="horz" wrap="square" lIns="38100" tIns="19050" rIns="36000" bIns="19050" anchor="ctr" anchorCtr="true">
                  <a:noAutofit/>
                </a:bodyPr>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extLst>
                <c:ext xmlns:c15="http://schemas.microsoft.com/office/drawing/2012/chart" uri="{CE6537A1-D6FC-4f65-9D91-7224C49458BB}">
                  <c15:layout>
                    <c:manualLayout>
                      <c:w val="0.198933256450915"/>
                      <c:h val="0.100886339937435"/>
                    </c:manualLayout>
                  </c15:layout>
                </c:ext>
              </c:extLst>
            </c:dLbl>
            <c:numFmt formatCode="0.00%" sourceLinked="false"/>
            <c:spPr>
              <a:noFill/>
              <a:ln>
                <a:noFill/>
              </a:ln>
              <a:effectLst/>
            </c:spPr>
            <c:txPr>
              <a:bodyPr rot="0" spcFirstLastPara="0" vertOverflow="ellipsis" vert="horz" wrap="square" lIns="38100" tIns="19050" rIns="360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'图5--收入、支出结构'!$B$3</c:f>
              <c:strCache>
                <c:ptCount val="1"/>
                <c:pt idx="0">
                  <c:v>一般公共预算拨款收入</c:v>
                </c:pt>
              </c:strCache>
            </c:strRef>
          </c:cat>
          <c:val>
            <c:numRef>
              <c:f>'图5--收入、支出结构'!$C$3</c:f>
              <c:numCache>
                <c:formatCode>#,##0.00</c:formatCode>
                <c:ptCount val="1"/>
                <c:pt idx="0">
                  <c:v>2136.56</c:v>
                </c:pt>
              </c:numCache>
            </c:numRef>
          </c:val>
        </c:ser>
        <c:ser>
          <c:idx val="1"/>
          <c:order val="1"/>
          <c:tx>
            <c:strRef>
              <c:f>'图5--收入、支出结构'!$D$1:$D$2</c:f>
              <c:strCache>
                <c:ptCount val="1"/>
                <c:pt idx="0">
                  <c:v>收入预算 占比</c:v>
                </c:pt>
              </c:strCache>
            </c:strRef>
          </c:tx>
          <c:explosion val="25"/>
          <c:dPt>
            <c:idx val="0"/>
            <c:bubble3D val="false"/>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'图5--收入、支出结构'!$B$3</c:f>
              <c:strCache>
                <c:ptCount val="1"/>
                <c:pt idx="0">
                  <c:v>一般公共预算拨款收入</c:v>
                </c:pt>
              </c:strCache>
            </c:strRef>
          </c:cat>
          <c:val>
            <c:numRef>
              <c:f>'图5--收入、支出结构'!$D$3</c:f>
              <c:numCache>
                <c:formatCode>0.00%</c:formatCode>
                <c:ptCount val="1"/>
                <c:pt idx="0">
                  <c:v>1</c:v>
                </c:pt>
              </c:numCache>
            </c:numRef>
          </c:val>
        </c:ser>
        <c:dLbls>
          <c:showLegendKey val="false"/>
          <c:showVal val="false"/>
          <c:showCatName val="false"/>
          <c:showSerName val="false"/>
          <c:showPercent val="tru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spPr>
    <a:ln w="6350" cap="flat" cmpd="sng" algn="ctr">
      <a:solidFill>
        <a:schemeClr val="bg1">
          <a:lumMod val="85000"/>
        </a:schemeClr>
      </a:solidFill>
      <a:prstDash val="solid"/>
      <a:round/>
    </a:ln>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pieChart>
        <c:varyColors val="true"/>
        <c:ser>
          <c:idx val="0"/>
          <c:order val="0"/>
          <c:tx>
            <c:strRef>
              <c:f>Sheet1!$B$1</c:f>
              <c:strCache>
                <c:ptCount val="1"/>
                <c:pt idx="0">
                  <c:v>2025年</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Lbls>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false"/>
            <c:showCatName val="false"/>
            <c:showSerName val="false"/>
            <c:showPercent val="true"/>
            <c:showBubbleSize val="false"/>
            <c:showLeaderLines val="false"/>
            <c:extLst>
              <c:ext xmlns:c15="http://schemas.microsoft.com/office/drawing/2012/chart" uri="{CE6537A1-D6FC-4f65-9D91-7224C49458BB}">
                <c15:layout/>
                <c15:showLeaderLines val="false"/>
                <c15:leaderLines>
                  <c:spPr>
                    <a:ln w="9525" cap="flat" cmpd="sng" algn="ctr">
                      <a:solidFill>
                        <a:schemeClr val="tx1">
                          <a:lumMod val="35000"/>
                          <a:lumOff val="65000"/>
                        </a:schemeClr>
                      </a:solidFill>
                      <a:round/>
                    </a:ln>
                    <a:effectLst/>
                  </c:spPr>
                </c15:leaderLines>
              </c:ext>
            </c:extLst>
          </c:dLbls>
          <c:cat>
            <c:strRef>
              <c:f>Sheet1!$A$2:$A$5</c:f>
              <c:strCache>
                <c:ptCount val="2"/>
                <c:pt idx="0">
                  <c:v>基本支出</c:v>
                </c:pt>
                <c:pt idx="1">
                  <c:v>项目支出</c:v>
                </c:pt>
              </c:strCache>
            </c:strRef>
          </c:cat>
          <c:val>
            <c:numRef>
              <c:f>Sheet1!$B$2:$B$5</c:f>
              <c:numCache>
                <c:formatCode>General</c:formatCode>
                <c:ptCount val="4"/>
                <c:pt idx="0">
                  <c:v>1828</c:v>
                </c:pt>
                <c:pt idx="1">
                  <c:v>209.76</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egendEntry>
        <c:idx val="2"/>
        <c:delete val="true"/>
      </c:legendEntry>
      <c:legendEntry>
        <c:idx val="3"/>
        <c:delete val="true"/>
      </c:legendEntry>
      <c:layout>
        <c:manualLayout>
          <c:xMode val="edge"/>
          <c:yMode val="edge"/>
          <c:x val="0.364342968180714"/>
          <c:y val="0.879835390946502"/>
        </c:manualLayout>
      </c:layout>
      <c:overlay val="false"/>
      <c:spPr>
        <a:noFill/>
        <a:ln>
          <a:noFill/>
        </a:ln>
        <a:effectLst/>
      </c:spPr>
      <c:txPr>
        <a:bodyPr rot="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2097</Words>
  <Characters>2419</Characters>
  <Lines>19</Lines>
  <Paragraphs>5</Paragraphs>
  <TotalTime>1</TotalTime>
  <ScaleCrop>false</ScaleCrop>
  <LinksUpToDate>false</LinksUpToDate>
  <CharactersWithSpaces>2446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2025-02-14T00:16:00Z</dcterms:created>
  <dc:creator>yd</dc:creator>
  <cp:lastModifiedBy>user</cp:lastModifiedBy>
  <cp:lastPrinted>2025-03-03T14:22:27Z</cp:lastPrinted>
  <dcterms:modified xsi:type="dcterms:W3CDTF">2025-03-03T16:36:34Z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3A8E16AE736647919F95A9B302CBB313_11</vt:lpwstr>
  </property>
  <property fmtid="{D5CDD505-2E9C-101B-9397-08002B2CF9AE}" pid="4" name="KSOTemplateDocerSaveRecord">
    <vt:lpwstr>eyJoZGlkIjoiNjllMTQ1N2NiYWJhNmE3MmJmNjczYjE3MmE0Mzc5ZDEiLCJ1c2VySWQiOiIxMjgzMzY4NzkzIn0=</vt:lpwstr>
  </property>
</Properties>
</file>