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AB811">
      <w:pPr>
        <w:spacing w:line="560" w:lineRule="exact"/>
        <w:jc w:val="center"/>
        <w:rPr>
          <w:rFonts w:ascii="方正小标宋简体" w:eastAsia="方正小标宋简体"/>
          <w:color w:val="000000"/>
          <w:sz w:val="44"/>
          <w:szCs w:val="44"/>
        </w:rPr>
      </w:pPr>
      <w:bookmarkStart w:id="0" w:name="_GoBack"/>
      <w:bookmarkEnd w:id="0"/>
      <w:r>
        <w:rPr>
          <w:rFonts w:hint="eastAsia" w:ascii="方正小标宋简体" w:eastAsia="方正小标宋简体"/>
          <w:color w:val="000000"/>
          <w:sz w:val="44"/>
          <w:szCs w:val="44"/>
        </w:rPr>
        <w:t xml:space="preserve">北京医药健康科技发展中心 </w:t>
      </w:r>
      <w:r>
        <w:rPr>
          <w:rFonts w:ascii="方正小标宋简体" w:eastAsia="方正小标宋简体"/>
          <w:color w:val="000000"/>
          <w:sz w:val="44"/>
          <w:szCs w:val="44"/>
        </w:rPr>
        <w:t xml:space="preserve">          </w:t>
      </w:r>
      <w:r>
        <w:rPr>
          <w:rFonts w:hint="eastAsia" w:ascii="方正小标宋简体" w:eastAsia="方正小标宋简体"/>
          <w:color w:val="000000"/>
          <w:sz w:val="44"/>
          <w:szCs w:val="44"/>
        </w:rPr>
        <w:t>2025年度单位预算信息公开</w:t>
      </w:r>
    </w:p>
    <w:p w14:paraId="6FDE1DF9">
      <w:pPr>
        <w:spacing w:line="240" w:lineRule="exact"/>
        <w:jc w:val="center"/>
        <w:rPr>
          <w:rFonts w:ascii="方正小标宋简体" w:eastAsia="方正小标宋简体"/>
          <w:color w:val="000000"/>
          <w:sz w:val="32"/>
          <w:szCs w:val="32"/>
        </w:rPr>
      </w:pPr>
    </w:p>
    <w:p w14:paraId="35B0176A">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14:paraId="514F3A91">
      <w:pPr>
        <w:pStyle w:val="2"/>
        <w:rPr>
          <w:color w:val="000000"/>
        </w:rPr>
      </w:pPr>
    </w:p>
    <w:p w14:paraId="56C7C46B">
      <w:pPr>
        <w:spacing w:line="240" w:lineRule="exact"/>
        <w:jc w:val="center"/>
        <w:rPr>
          <w:rFonts w:ascii="方正小标宋简体" w:eastAsia="方正小标宋简体"/>
          <w:color w:val="000000"/>
          <w:sz w:val="32"/>
          <w:szCs w:val="32"/>
        </w:rPr>
      </w:pPr>
    </w:p>
    <w:p w14:paraId="3E63BFA3">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14:paraId="7527C3B0">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14:paraId="3D2E18F6">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14:paraId="34AEB418">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14:paraId="0E07404F">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14:paraId="53742755">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14:paraId="24012478">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14:paraId="36F0BD5F">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14:paraId="303F59F5">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14:paraId="28A59743">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14:paraId="5E4177F3">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14:paraId="4A903C86">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14:paraId="7C825EE6">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14:paraId="61984D60">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14:paraId="1B3BE471">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14:paraId="1D6D7568">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14:paraId="4C4C5D32">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14:paraId="45FE6B55">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14:paraId="71C23245">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14:paraId="717E52DD">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14:paraId="6F67F3A1">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14:paraId="18D51978">
      <w:pPr>
        <w:spacing w:line="560" w:lineRule="exact"/>
        <w:jc w:val="center"/>
        <w:rPr>
          <w:rFonts w:ascii="仿宋_GB2312" w:hAnsi="仿宋_GB2312" w:eastAsia="仿宋_GB2312" w:cs="仿宋_GB2312"/>
          <w:color w:val="000000"/>
          <w:sz w:val="36"/>
          <w:szCs w:val="36"/>
        </w:rPr>
      </w:pPr>
    </w:p>
    <w:p w14:paraId="208F4BF5">
      <w:pPr>
        <w:spacing w:line="560" w:lineRule="exact"/>
        <w:jc w:val="center"/>
        <w:rPr>
          <w:rFonts w:ascii="仿宋_GB2312" w:hAnsi="仿宋_GB2312" w:eastAsia="仿宋_GB2312" w:cs="仿宋_GB2312"/>
          <w:color w:val="000000"/>
          <w:sz w:val="36"/>
          <w:szCs w:val="36"/>
        </w:rPr>
      </w:pPr>
    </w:p>
    <w:p w14:paraId="0ED22E9D">
      <w:pPr>
        <w:spacing w:line="560" w:lineRule="exact"/>
        <w:jc w:val="center"/>
        <w:rPr>
          <w:rFonts w:ascii="仿宋_GB2312" w:hAnsi="仿宋_GB2312" w:eastAsia="仿宋_GB2312" w:cs="仿宋_GB2312"/>
          <w:color w:val="000000"/>
          <w:sz w:val="36"/>
          <w:szCs w:val="36"/>
        </w:rPr>
      </w:pPr>
    </w:p>
    <w:p w14:paraId="4BF3B304">
      <w:pPr>
        <w:spacing w:line="560" w:lineRule="exact"/>
        <w:jc w:val="center"/>
        <w:rPr>
          <w:rFonts w:ascii="仿宋_GB2312" w:hAnsi="仿宋_GB2312" w:eastAsia="仿宋_GB2312" w:cs="仿宋_GB2312"/>
          <w:color w:val="000000"/>
          <w:sz w:val="36"/>
          <w:szCs w:val="36"/>
        </w:rPr>
      </w:pPr>
    </w:p>
    <w:p w14:paraId="64CABCED">
      <w:pPr>
        <w:spacing w:line="560" w:lineRule="exact"/>
        <w:jc w:val="center"/>
        <w:rPr>
          <w:rFonts w:ascii="仿宋_GB2312" w:hAnsi="仿宋_GB2312" w:eastAsia="仿宋_GB2312" w:cs="仿宋_GB2312"/>
          <w:color w:val="000000"/>
          <w:sz w:val="36"/>
          <w:szCs w:val="36"/>
        </w:rPr>
      </w:pPr>
    </w:p>
    <w:p w14:paraId="3858064E">
      <w:pPr>
        <w:spacing w:line="560" w:lineRule="exact"/>
        <w:jc w:val="center"/>
        <w:rPr>
          <w:rFonts w:ascii="仿宋_GB2312" w:hAnsi="仿宋_GB2312" w:eastAsia="仿宋_GB2312" w:cs="仿宋_GB2312"/>
          <w:color w:val="000000"/>
          <w:sz w:val="36"/>
          <w:szCs w:val="36"/>
        </w:rPr>
      </w:pPr>
    </w:p>
    <w:p w14:paraId="62D61017">
      <w:pPr>
        <w:spacing w:line="560" w:lineRule="exact"/>
        <w:jc w:val="center"/>
        <w:rPr>
          <w:rFonts w:ascii="仿宋_GB2312" w:hAnsi="仿宋_GB2312" w:eastAsia="仿宋_GB2312" w:cs="仿宋_GB2312"/>
          <w:color w:val="000000"/>
          <w:sz w:val="36"/>
          <w:szCs w:val="36"/>
        </w:rPr>
      </w:pPr>
    </w:p>
    <w:p w14:paraId="2B6C42C4">
      <w:pPr>
        <w:spacing w:line="560" w:lineRule="exact"/>
        <w:jc w:val="center"/>
        <w:rPr>
          <w:rFonts w:ascii="方正小标宋简体" w:eastAsia="方正小标宋简体"/>
          <w:color w:val="000000"/>
          <w:sz w:val="36"/>
          <w:szCs w:val="36"/>
        </w:rPr>
      </w:pPr>
    </w:p>
    <w:p w14:paraId="68D41B1C">
      <w:pPr>
        <w:spacing w:line="560" w:lineRule="exact"/>
        <w:jc w:val="center"/>
        <w:rPr>
          <w:rFonts w:ascii="方正小标宋简体" w:eastAsia="方正小标宋简体"/>
          <w:color w:val="000000"/>
          <w:sz w:val="36"/>
          <w:szCs w:val="36"/>
        </w:rPr>
      </w:pPr>
    </w:p>
    <w:p w14:paraId="0C0C4FD7">
      <w:pPr>
        <w:spacing w:line="560" w:lineRule="exact"/>
        <w:jc w:val="center"/>
        <w:rPr>
          <w:rFonts w:ascii="方正小标宋简体" w:eastAsia="方正小标宋简体"/>
          <w:color w:val="000000"/>
          <w:sz w:val="36"/>
          <w:szCs w:val="36"/>
        </w:rPr>
      </w:pPr>
    </w:p>
    <w:p w14:paraId="2482503D">
      <w:pPr>
        <w:spacing w:line="560" w:lineRule="exact"/>
        <w:jc w:val="center"/>
        <w:rPr>
          <w:rFonts w:ascii="方正小标宋简体" w:eastAsia="方正小标宋简体"/>
          <w:color w:val="000000"/>
          <w:sz w:val="36"/>
          <w:szCs w:val="36"/>
        </w:rPr>
      </w:pPr>
    </w:p>
    <w:p w14:paraId="23DF1A9F">
      <w:pPr>
        <w:spacing w:line="560" w:lineRule="exact"/>
        <w:jc w:val="center"/>
        <w:rPr>
          <w:rFonts w:ascii="方正小标宋简体" w:eastAsia="方正小标宋简体"/>
          <w:color w:val="000000"/>
          <w:sz w:val="36"/>
          <w:szCs w:val="36"/>
        </w:rPr>
      </w:pPr>
    </w:p>
    <w:p w14:paraId="2CF2C1C9">
      <w:pPr>
        <w:spacing w:line="560" w:lineRule="exact"/>
        <w:jc w:val="center"/>
        <w:rPr>
          <w:rFonts w:ascii="方正小标宋简体" w:eastAsia="方正小标宋简体"/>
          <w:color w:val="000000"/>
          <w:sz w:val="36"/>
          <w:szCs w:val="36"/>
        </w:rPr>
      </w:pPr>
    </w:p>
    <w:p w14:paraId="57AC3539">
      <w:pPr>
        <w:spacing w:line="560" w:lineRule="exact"/>
        <w:jc w:val="center"/>
        <w:rPr>
          <w:rFonts w:ascii="方正小标宋简体" w:eastAsia="方正小标宋简体"/>
          <w:color w:val="000000"/>
          <w:sz w:val="36"/>
          <w:szCs w:val="36"/>
        </w:rPr>
      </w:pPr>
    </w:p>
    <w:p w14:paraId="36AE5CFD">
      <w:pPr>
        <w:spacing w:line="560" w:lineRule="exact"/>
        <w:jc w:val="center"/>
        <w:rPr>
          <w:rFonts w:ascii="方正小标宋简体" w:eastAsia="方正小标宋简体"/>
          <w:color w:val="000000"/>
          <w:sz w:val="36"/>
          <w:szCs w:val="36"/>
        </w:rPr>
      </w:pPr>
    </w:p>
    <w:p w14:paraId="03BBFB40">
      <w:pPr>
        <w:spacing w:line="560" w:lineRule="exact"/>
        <w:jc w:val="center"/>
        <w:rPr>
          <w:rFonts w:ascii="方正小标宋简体" w:eastAsia="方正小标宋简体"/>
          <w:color w:val="000000"/>
          <w:sz w:val="36"/>
          <w:szCs w:val="36"/>
        </w:rPr>
      </w:pPr>
    </w:p>
    <w:p w14:paraId="633AE043">
      <w:pPr>
        <w:spacing w:line="560" w:lineRule="exact"/>
        <w:jc w:val="center"/>
        <w:rPr>
          <w:rFonts w:ascii="方正小标宋简体" w:eastAsia="方正小标宋简体"/>
          <w:color w:val="000000"/>
          <w:sz w:val="36"/>
          <w:szCs w:val="36"/>
        </w:rPr>
      </w:pPr>
    </w:p>
    <w:p w14:paraId="1D1B34E4">
      <w:pPr>
        <w:spacing w:line="560" w:lineRule="exact"/>
        <w:jc w:val="center"/>
        <w:rPr>
          <w:rFonts w:ascii="方正小标宋简体" w:eastAsia="方正小标宋简体"/>
          <w:color w:val="000000"/>
          <w:sz w:val="36"/>
          <w:szCs w:val="36"/>
        </w:rPr>
      </w:pPr>
    </w:p>
    <w:p w14:paraId="5E583A46">
      <w:pPr>
        <w:spacing w:line="560" w:lineRule="exact"/>
        <w:jc w:val="center"/>
        <w:rPr>
          <w:rFonts w:ascii="方正小标宋简体" w:eastAsia="方正小标宋简体"/>
          <w:color w:val="000000"/>
          <w:sz w:val="36"/>
          <w:szCs w:val="36"/>
        </w:rPr>
      </w:pPr>
    </w:p>
    <w:p w14:paraId="3060D151">
      <w:pPr>
        <w:pStyle w:val="2"/>
      </w:pPr>
    </w:p>
    <w:p w14:paraId="714E80C1">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2025年度单位预算情况说明</w:t>
      </w:r>
    </w:p>
    <w:p w14:paraId="6B66B656">
      <w:pPr>
        <w:spacing w:line="360" w:lineRule="auto"/>
        <w:rPr>
          <w:rFonts w:ascii="仿宋_GB2312" w:eastAsia="仿宋_GB2312"/>
          <w:color w:val="000000"/>
          <w:sz w:val="32"/>
          <w:szCs w:val="32"/>
        </w:rPr>
      </w:pPr>
    </w:p>
    <w:p w14:paraId="72F03BA8">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14:paraId="6F11A090">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14:paraId="4B01BC02">
      <w:pPr>
        <w:spacing w:line="560" w:lineRule="exact"/>
        <w:ind w:firstLine="640" w:firstLineChars="200"/>
        <w:rPr>
          <w:rFonts w:ascii="仿宋_GB2312" w:eastAsia="仿宋_GB2312"/>
          <w:sz w:val="32"/>
          <w:szCs w:val="32"/>
        </w:rPr>
      </w:pPr>
      <w:r>
        <w:rPr>
          <w:rFonts w:hint="eastAsia" w:ascii="仿宋_GB2312" w:eastAsia="仿宋_GB2312"/>
          <w:sz w:val="32"/>
          <w:szCs w:val="32"/>
        </w:rPr>
        <w:t>根据中共北京市委机构编制委员会《关于市科委、中关村管委会所属事业单位改革有关事项的批复》（京编委〔2021〕66号）的文件，同意将北京生物技术和新医药产业促进中心更名为北京医药健康科技发展中心，为公益一类事业单位。主要职责：承担生命科学、医药健康、医疗卫生及食品安全等领域科技创新布局研究、项目管理和创新主体服务等工作。</w:t>
      </w:r>
    </w:p>
    <w:p w14:paraId="413DE980">
      <w:pPr>
        <w:numPr>
          <w:ilvl w:val="0"/>
          <w:numId w:val="1"/>
        </w:num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机构设置情况</w:t>
      </w:r>
    </w:p>
    <w:p w14:paraId="0A4A921E">
      <w:pPr>
        <w:spacing w:line="560" w:lineRule="exact"/>
        <w:ind w:firstLine="640" w:firstLineChars="200"/>
        <w:rPr>
          <w:rFonts w:ascii="仿宋_GB2312" w:eastAsia="仿宋_GB2312"/>
          <w:sz w:val="32"/>
          <w:szCs w:val="32"/>
        </w:rPr>
      </w:pPr>
      <w:r>
        <w:rPr>
          <w:rFonts w:hint="eastAsia" w:ascii="仿宋_GB2312" w:eastAsia="仿宋_GB2312"/>
          <w:sz w:val="32"/>
          <w:szCs w:val="32"/>
        </w:rPr>
        <w:t>北京医药健康科技发展中心下设7个部门，分别为：综合管理部、创新药部、医疗器械部、数字医疗部、生命科学前沿部、临床医学部、医药产业发展部。</w:t>
      </w:r>
    </w:p>
    <w:p w14:paraId="1AA6CB23">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14:paraId="1961AED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北京医药健康科技发展中心事业编制51人，实有人数</w:t>
      </w:r>
      <w:r>
        <w:rPr>
          <w:rFonts w:ascii="仿宋_GB2312" w:eastAsia="仿宋_GB2312"/>
          <w:color w:val="000000"/>
          <w:sz w:val="32"/>
          <w:szCs w:val="32"/>
        </w:rPr>
        <w:t>4</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人。</w:t>
      </w:r>
    </w:p>
    <w:p w14:paraId="64DB1FA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离退休人员2人，其中：离休0人，退休2人。</w:t>
      </w:r>
    </w:p>
    <w:p w14:paraId="2172731A">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14:paraId="25B2CAF4">
      <w:pPr>
        <w:spacing w:line="560" w:lineRule="exact"/>
        <w:ind w:firstLine="640" w:firstLineChars="200"/>
        <w:rPr>
          <w:rFonts w:ascii="仿宋_GB2312" w:eastAsia="仿宋_GB2312"/>
          <w:sz w:val="32"/>
          <w:szCs w:val="32"/>
        </w:rPr>
      </w:pPr>
      <w:r>
        <w:rPr>
          <w:rFonts w:hint="eastAsia" w:ascii="仿宋_GB2312" w:eastAsia="仿宋_GB2312"/>
          <w:sz w:val="32"/>
          <w:szCs w:val="32"/>
        </w:rPr>
        <w:t>2025年度收入预算</w:t>
      </w:r>
      <w:r>
        <w:rPr>
          <w:rFonts w:ascii="仿宋_GB2312" w:eastAsia="仿宋_GB2312"/>
          <w:sz w:val="32"/>
          <w:szCs w:val="32"/>
        </w:rPr>
        <w:t>1</w:t>
      </w:r>
      <w:r>
        <w:rPr>
          <w:rFonts w:hint="eastAsia" w:ascii="仿宋_GB2312" w:eastAsia="仿宋_GB2312"/>
          <w:sz w:val="32"/>
          <w:szCs w:val="32"/>
          <w:lang w:val="en-US" w:eastAsia="zh-CN"/>
        </w:rPr>
        <w:t>,</w:t>
      </w:r>
      <w:r>
        <w:rPr>
          <w:rFonts w:ascii="仿宋_GB2312" w:eastAsia="仿宋_GB2312"/>
          <w:sz w:val="32"/>
          <w:szCs w:val="32"/>
        </w:rPr>
        <w:t>963.93</w:t>
      </w:r>
      <w:r>
        <w:rPr>
          <w:rFonts w:hint="eastAsia" w:ascii="仿宋_GB2312" w:eastAsia="仿宋_GB2312"/>
          <w:sz w:val="32"/>
          <w:szCs w:val="32"/>
        </w:rPr>
        <w:t>万元，比2024年年初预算数</w:t>
      </w:r>
      <w:r>
        <w:rPr>
          <w:rFonts w:ascii="仿宋_GB2312" w:eastAsia="仿宋_GB2312"/>
          <w:sz w:val="32"/>
          <w:szCs w:val="32"/>
        </w:rPr>
        <w:t>2</w:t>
      </w:r>
      <w:r>
        <w:rPr>
          <w:rFonts w:hint="eastAsia" w:ascii="仿宋_GB2312" w:eastAsia="仿宋_GB2312"/>
          <w:sz w:val="32"/>
          <w:szCs w:val="32"/>
          <w:lang w:val="en-US" w:eastAsia="zh-CN"/>
        </w:rPr>
        <w:t>,</w:t>
      </w:r>
      <w:r>
        <w:rPr>
          <w:rFonts w:ascii="仿宋_GB2312" w:eastAsia="仿宋_GB2312"/>
          <w:sz w:val="32"/>
          <w:szCs w:val="32"/>
        </w:rPr>
        <w:t>129.48</w:t>
      </w:r>
      <w:r>
        <w:rPr>
          <w:rFonts w:hint="eastAsia" w:ascii="仿宋_GB2312" w:eastAsia="仿宋_GB2312"/>
          <w:sz w:val="32"/>
          <w:szCs w:val="32"/>
        </w:rPr>
        <w:t>万元减少</w:t>
      </w:r>
      <w:r>
        <w:rPr>
          <w:rFonts w:ascii="仿宋_GB2312" w:eastAsia="仿宋_GB2312"/>
          <w:sz w:val="32"/>
          <w:szCs w:val="32"/>
        </w:rPr>
        <w:t>165.55</w:t>
      </w:r>
      <w:r>
        <w:rPr>
          <w:rFonts w:hint="eastAsia" w:ascii="仿宋_GB2312" w:eastAsia="仿宋_GB2312"/>
          <w:sz w:val="32"/>
          <w:szCs w:val="32"/>
        </w:rPr>
        <w:t>万元，下降</w:t>
      </w:r>
      <w:r>
        <w:rPr>
          <w:rFonts w:ascii="仿宋_GB2312" w:eastAsia="仿宋_GB2312"/>
          <w:sz w:val="32"/>
          <w:szCs w:val="32"/>
        </w:rPr>
        <w:t>7.77</w:t>
      </w:r>
      <w:r>
        <w:rPr>
          <w:rFonts w:hint="eastAsia" w:ascii="仿宋_GB2312" w:eastAsia="仿宋_GB2312"/>
          <w:sz w:val="32"/>
          <w:szCs w:val="32"/>
        </w:rPr>
        <w:t>%。主要原因是根据工作安排，减少机构运行等方面的经费预算。</w:t>
      </w:r>
    </w:p>
    <w:p w14:paraId="62C900F9">
      <w:pPr>
        <w:pStyle w:val="2"/>
        <w:rPr>
          <w:rFonts w:ascii="楷体_GB2312" w:eastAsia="楷体_GB2312"/>
          <w:sz w:val="32"/>
        </w:rPr>
      </w:pPr>
      <w:r>
        <w:rPr>
          <w:rFonts w:ascii="仿宋_GB2312" w:hAnsi="Times New Roman" w:eastAsia="仿宋_GB2312" w:cs="Droid Sans"/>
          <w:b w:val="0"/>
          <w:bCs w:val="0"/>
          <w:kern w:val="2"/>
          <w:sz w:val="32"/>
        </w:rPr>
        <w:t xml:space="preserve"> </w:t>
      </w:r>
      <w:r>
        <w:rPr>
          <w:rFonts w:hint="eastAsia" w:ascii="仿宋_GB2312" w:hAnsi="Times New Roman" w:eastAsia="仿宋_GB2312" w:cs="Droid Sans"/>
          <w:b w:val="0"/>
          <w:bCs w:val="0"/>
          <w:kern w:val="2"/>
          <w:sz w:val="32"/>
        </w:rPr>
        <w:t xml:space="preserve">  </w:t>
      </w:r>
      <w:r>
        <w:rPr>
          <w:rFonts w:hint="eastAsia" w:ascii="楷体_GB2312" w:eastAsia="楷体_GB2312"/>
          <w:sz w:val="32"/>
        </w:rPr>
        <w:t>（一）本年财政拨款收入</w:t>
      </w:r>
      <w:r>
        <w:rPr>
          <w:rFonts w:ascii="楷体_GB2312" w:eastAsia="楷体_GB2312"/>
          <w:sz w:val="32"/>
        </w:rPr>
        <w:t>1</w:t>
      </w:r>
      <w:r>
        <w:rPr>
          <w:rFonts w:hint="eastAsia" w:ascii="楷体_GB2312" w:eastAsia="楷体_GB2312"/>
          <w:sz w:val="32"/>
          <w:lang w:val="en-US" w:eastAsia="zh-CN"/>
        </w:rPr>
        <w:t>,</w:t>
      </w:r>
      <w:r>
        <w:rPr>
          <w:rFonts w:ascii="楷体_GB2312" w:eastAsia="楷体_GB2312"/>
          <w:sz w:val="32"/>
        </w:rPr>
        <w:t>925.02</w:t>
      </w:r>
      <w:r>
        <w:rPr>
          <w:rFonts w:hint="eastAsia" w:ascii="楷体_GB2312" w:eastAsia="楷体_GB2312"/>
          <w:sz w:val="32"/>
        </w:rPr>
        <w:t>万元</w:t>
      </w:r>
    </w:p>
    <w:p w14:paraId="5B93C89C">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1</w:t>
      </w:r>
      <w:r>
        <w:rPr>
          <w:rFonts w:hint="eastAsia" w:ascii="仿宋_GB2312" w:eastAsia="仿宋_GB2312"/>
          <w:sz w:val="32"/>
          <w:szCs w:val="32"/>
          <w:lang w:val="en-US" w:eastAsia="zh-CN"/>
        </w:rPr>
        <w:t>,</w:t>
      </w:r>
      <w:r>
        <w:rPr>
          <w:rFonts w:ascii="仿宋_GB2312" w:eastAsia="仿宋_GB2312"/>
          <w:sz w:val="32"/>
          <w:szCs w:val="32"/>
        </w:rPr>
        <w:t>925.02</w:t>
      </w:r>
      <w:r>
        <w:rPr>
          <w:rFonts w:hint="eastAsia" w:ascii="仿宋_GB2312" w:eastAsia="仿宋_GB2312"/>
          <w:sz w:val="32"/>
          <w:szCs w:val="32"/>
        </w:rPr>
        <w:t>万元。</w:t>
      </w:r>
    </w:p>
    <w:p w14:paraId="06205598">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w:t>
      </w:r>
      <w:r>
        <w:rPr>
          <w:rFonts w:hint="eastAsia" w:ascii="仿宋_GB2312" w:eastAsia="仿宋_GB2312"/>
          <w:sz w:val="32"/>
          <w:szCs w:val="32"/>
        </w:rPr>
        <w:t>万元。</w:t>
      </w:r>
    </w:p>
    <w:p w14:paraId="3A5BEF29">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w:t>
      </w:r>
      <w:r>
        <w:rPr>
          <w:rFonts w:hint="eastAsia" w:ascii="仿宋_GB2312" w:eastAsia="仿宋_GB2312"/>
          <w:sz w:val="32"/>
          <w:szCs w:val="32"/>
        </w:rPr>
        <w:t>万元。</w:t>
      </w:r>
    </w:p>
    <w:p w14:paraId="41508F81">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0</w:t>
      </w:r>
      <w:r>
        <w:rPr>
          <w:rFonts w:hint="eastAsia" w:ascii="楷体_GB2312" w:eastAsia="楷体_GB2312"/>
          <w:sz w:val="32"/>
          <w:szCs w:val="32"/>
        </w:rPr>
        <w:t>万元</w:t>
      </w:r>
    </w:p>
    <w:p w14:paraId="66A0DE15">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0</w:t>
      </w:r>
      <w:r>
        <w:rPr>
          <w:rFonts w:hint="eastAsia" w:ascii="仿宋_GB2312" w:eastAsia="仿宋_GB2312"/>
          <w:sz w:val="32"/>
          <w:szCs w:val="32"/>
        </w:rPr>
        <w:t>万元。</w:t>
      </w:r>
    </w:p>
    <w:p w14:paraId="4FC1CA5E">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0</w:t>
      </w:r>
      <w:r>
        <w:rPr>
          <w:rFonts w:hint="eastAsia" w:ascii="仿宋_GB2312" w:eastAsia="仿宋_GB2312"/>
          <w:sz w:val="32"/>
          <w:szCs w:val="32"/>
        </w:rPr>
        <w:t>万元。</w:t>
      </w:r>
    </w:p>
    <w:p w14:paraId="1B44128A">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w:t>
      </w:r>
      <w:r>
        <w:rPr>
          <w:rFonts w:hint="eastAsia" w:ascii="仿宋_GB2312" w:eastAsia="仿宋_GB2312"/>
          <w:sz w:val="32"/>
          <w:szCs w:val="32"/>
        </w:rPr>
        <w:t>万元。</w:t>
      </w:r>
    </w:p>
    <w:p w14:paraId="25BA9F3F">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w:t>
      </w:r>
      <w:r>
        <w:rPr>
          <w:rFonts w:hint="eastAsia" w:ascii="仿宋_GB2312" w:eastAsia="仿宋_GB2312"/>
          <w:sz w:val="32"/>
          <w:szCs w:val="32"/>
        </w:rPr>
        <w:t>万元。</w:t>
      </w:r>
    </w:p>
    <w:p w14:paraId="6FEF17A5">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0</w:t>
      </w:r>
      <w:r>
        <w:rPr>
          <w:rFonts w:hint="eastAsia" w:ascii="仿宋_GB2312" w:eastAsia="仿宋_GB2312"/>
          <w:sz w:val="32"/>
          <w:szCs w:val="32"/>
        </w:rPr>
        <w:t>万元。</w:t>
      </w:r>
    </w:p>
    <w:p w14:paraId="3ECDE35F">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0</w:t>
      </w:r>
      <w:r>
        <w:rPr>
          <w:rFonts w:hint="eastAsia" w:ascii="仿宋_GB2312" w:eastAsia="仿宋_GB2312"/>
          <w:sz w:val="32"/>
          <w:szCs w:val="32"/>
        </w:rPr>
        <w:t>万元。</w:t>
      </w:r>
    </w:p>
    <w:p w14:paraId="38FAE5E8">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38.91</w:t>
      </w:r>
      <w:r>
        <w:rPr>
          <w:rFonts w:hint="eastAsia" w:ascii="楷体_GB2312" w:eastAsia="楷体_GB2312"/>
          <w:sz w:val="32"/>
          <w:szCs w:val="32"/>
        </w:rPr>
        <w:t>万元</w:t>
      </w:r>
    </w:p>
    <w:p w14:paraId="0A9AA806">
      <w:pPr>
        <w:spacing w:line="560" w:lineRule="exact"/>
        <w:ind w:firstLine="640" w:firstLineChars="200"/>
      </w:pPr>
      <w:r>
        <w:rPr>
          <w:rFonts w:hint="eastAsia" w:ascii="仿宋_GB2312" w:eastAsia="仿宋_GB2312"/>
          <w:sz w:val="32"/>
          <w:szCs w:val="32"/>
        </w:rPr>
        <w:t>10.上年结转结余</w:t>
      </w:r>
      <w:r>
        <w:rPr>
          <w:rFonts w:ascii="仿宋_GB2312" w:eastAsia="仿宋_GB2312"/>
          <w:sz w:val="32"/>
          <w:szCs w:val="32"/>
        </w:rPr>
        <w:t>38.91</w:t>
      </w:r>
      <w:r>
        <w:rPr>
          <w:rFonts w:hint="eastAsia" w:ascii="仿宋_GB2312" w:eastAsia="仿宋_GB2312"/>
          <w:sz w:val="32"/>
          <w:szCs w:val="32"/>
        </w:rPr>
        <w:t>万元。</w:t>
      </w:r>
    </w:p>
    <w:p w14:paraId="6D65DE39">
      <w:pPr>
        <w:pStyle w:val="2"/>
        <w:jc w:val="center"/>
      </w:pPr>
      <w:r>
        <w:drawing>
          <wp:inline distT="0" distB="0" distL="0" distR="0">
            <wp:extent cx="3865245" cy="2414270"/>
            <wp:effectExtent l="0" t="0" r="1905"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3865245" cy="2414270"/>
                    </a:xfrm>
                    <a:prstGeom prst="rect">
                      <a:avLst/>
                    </a:prstGeom>
                    <a:noFill/>
                  </pic:spPr>
                </pic:pic>
              </a:graphicData>
            </a:graphic>
          </wp:inline>
        </w:drawing>
      </w:r>
    </w:p>
    <w:p w14:paraId="43E1E777">
      <w:pPr>
        <w:pStyle w:val="2"/>
        <w:jc w:val="center"/>
        <w:rPr>
          <w:rFonts w:ascii="仿宋_GB2312" w:eastAsia="仿宋_GB2312"/>
          <w:b w:val="0"/>
          <w:bCs w:val="0"/>
          <w:sz w:val="32"/>
        </w:rPr>
      </w:pPr>
      <w:r>
        <w:rPr>
          <w:rFonts w:hint="eastAsia" w:ascii="仿宋_GB2312" w:eastAsia="仿宋_GB2312"/>
          <w:sz w:val="32"/>
        </w:rPr>
        <w:t>图1：收入预算</w:t>
      </w:r>
    </w:p>
    <w:p w14:paraId="7220E4D6">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14:paraId="5F9922E9">
      <w:pPr>
        <w:spacing w:line="560" w:lineRule="exact"/>
        <w:ind w:firstLine="640" w:firstLineChars="200"/>
        <w:rPr>
          <w:rFonts w:ascii="仿宋_GB2312" w:eastAsia="仿宋_GB2312"/>
          <w:sz w:val="32"/>
          <w:szCs w:val="32"/>
        </w:rPr>
      </w:pPr>
      <w:r>
        <w:rPr>
          <w:rFonts w:hint="eastAsia" w:ascii="仿宋_GB2312" w:eastAsia="仿宋_GB2312"/>
          <w:sz w:val="32"/>
          <w:szCs w:val="32"/>
        </w:rPr>
        <w:t>2025年支出预算</w:t>
      </w:r>
      <w:r>
        <w:rPr>
          <w:rFonts w:ascii="仿宋_GB2312" w:eastAsia="仿宋_GB2312"/>
          <w:sz w:val="32"/>
          <w:szCs w:val="32"/>
        </w:rPr>
        <w:t>1</w:t>
      </w:r>
      <w:r>
        <w:rPr>
          <w:rFonts w:hint="eastAsia" w:ascii="仿宋_GB2312" w:eastAsia="仿宋_GB2312"/>
          <w:sz w:val="32"/>
          <w:szCs w:val="32"/>
          <w:lang w:val="en-US" w:eastAsia="zh-CN"/>
        </w:rPr>
        <w:t>,</w:t>
      </w:r>
      <w:r>
        <w:rPr>
          <w:rFonts w:ascii="仿宋_GB2312" w:eastAsia="仿宋_GB2312"/>
          <w:sz w:val="32"/>
          <w:szCs w:val="32"/>
        </w:rPr>
        <w:t>963.93</w:t>
      </w:r>
      <w:r>
        <w:rPr>
          <w:rFonts w:hint="eastAsia" w:ascii="仿宋_GB2312" w:eastAsia="仿宋_GB2312"/>
          <w:sz w:val="32"/>
          <w:szCs w:val="32"/>
        </w:rPr>
        <w:t>万元，比2024年年初预算数</w:t>
      </w:r>
      <w:r>
        <w:rPr>
          <w:rFonts w:ascii="仿宋_GB2312" w:eastAsia="仿宋_GB2312"/>
          <w:sz w:val="32"/>
          <w:szCs w:val="32"/>
        </w:rPr>
        <w:t>2</w:t>
      </w:r>
      <w:r>
        <w:rPr>
          <w:rFonts w:hint="eastAsia" w:ascii="仿宋_GB2312" w:eastAsia="仿宋_GB2312"/>
          <w:sz w:val="32"/>
          <w:szCs w:val="32"/>
          <w:lang w:val="en-US" w:eastAsia="zh-CN"/>
        </w:rPr>
        <w:t>,</w:t>
      </w:r>
      <w:r>
        <w:rPr>
          <w:rFonts w:ascii="仿宋_GB2312" w:eastAsia="仿宋_GB2312"/>
          <w:sz w:val="32"/>
          <w:szCs w:val="32"/>
        </w:rPr>
        <w:t>129.48</w:t>
      </w:r>
      <w:r>
        <w:rPr>
          <w:rFonts w:hint="eastAsia" w:ascii="仿宋_GB2312" w:eastAsia="仿宋_GB2312"/>
          <w:sz w:val="32"/>
          <w:szCs w:val="32"/>
        </w:rPr>
        <w:t>万元减少</w:t>
      </w:r>
      <w:r>
        <w:rPr>
          <w:rFonts w:ascii="仿宋_GB2312" w:eastAsia="仿宋_GB2312"/>
          <w:sz w:val="32"/>
          <w:szCs w:val="32"/>
        </w:rPr>
        <w:t>165.55</w:t>
      </w:r>
      <w:r>
        <w:rPr>
          <w:rFonts w:hint="eastAsia" w:ascii="仿宋_GB2312" w:eastAsia="仿宋_GB2312"/>
          <w:sz w:val="32"/>
          <w:szCs w:val="32"/>
        </w:rPr>
        <w:t>万元，下降</w:t>
      </w:r>
      <w:r>
        <w:rPr>
          <w:rFonts w:ascii="仿宋_GB2312" w:eastAsia="仿宋_GB2312"/>
          <w:sz w:val="32"/>
          <w:szCs w:val="32"/>
        </w:rPr>
        <w:t>7.77</w:t>
      </w:r>
      <w:r>
        <w:rPr>
          <w:rFonts w:hint="eastAsia" w:ascii="仿宋_GB2312" w:eastAsia="仿宋_GB2312"/>
          <w:sz w:val="32"/>
          <w:szCs w:val="32"/>
        </w:rPr>
        <w:t>%。主要原因是根据实际需求，调整了相应的人员经费</w:t>
      </w:r>
      <w:r>
        <w:rPr>
          <w:rFonts w:hint="eastAsia" w:ascii="仿宋_GB2312" w:eastAsia="仿宋_GB2312"/>
          <w:sz w:val="32"/>
          <w:szCs w:val="32"/>
          <w:lang w:val="en-US" w:eastAsia="zh-CN"/>
        </w:rPr>
        <w:t>支出</w:t>
      </w:r>
      <w:r>
        <w:rPr>
          <w:rFonts w:hint="eastAsia" w:ascii="仿宋_GB2312" w:eastAsia="仿宋_GB2312"/>
          <w:sz w:val="32"/>
          <w:szCs w:val="32"/>
        </w:rPr>
        <w:t>。</w:t>
      </w:r>
    </w:p>
    <w:p w14:paraId="410E2B3C">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1</w:t>
      </w:r>
      <w:r>
        <w:rPr>
          <w:rFonts w:hint="eastAsia" w:ascii="仿宋_GB2312" w:eastAsia="仿宋_GB2312"/>
          <w:sz w:val="32"/>
          <w:szCs w:val="32"/>
          <w:lang w:val="en-US" w:eastAsia="zh-CN"/>
        </w:rPr>
        <w:t>,</w:t>
      </w:r>
      <w:r>
        <w:rPr>
          <w:rFonts w:ascii="仿宋_GB2312" w:eastAsia="仿宋_GB2312"/>
          <w:sz w:val="32"/>
          <w:szCs w:val="32"/>
        </w:rPr>
        <w:t>642.02</w:t>
      </w:r>
      <w:r>
        <w:rPr>
          <w:rFonts w:hint="eastAsia" w:ascii="仿宋_GB2312" w:eastAsia="仿宋_GB2312"/>
          <w:sz w:val="32"/>
          <w:szCs w:val="32"/>
        </w:rPr>
        <w:t>万元，占本年支出预算</w:t>
      </w:r>
      <w:r>
        <w:rPr>
          <w:rFonts w:ascii="仿宋_GB2312" w:eastAsia="仿宋_GB2312"/>
          <w:sz w:val="32"/>
          <w:szCs w:val="32"/>
        </w:rPr>
        <w:t>83.61</w:t>
      </w:r>
      <w:r>
        <w:rPr>
          <w:rFonts w:hint="eastAsia" w:ascii="仿宋_GB2312" w:eastAsia="仿宋_GB2312"/>
          <w:sz w:val="32"/>
          <w:szCs w:val="32"/>
        </w:rPr>
        <w:t>%，比2024年年初预算数</w:t>
      </w:r>
      <w:r>
        <w:rPr>
          <w:rFonts w:ascii="仿宋_GB2312" w:eastAsia="仿宋_GB2312"/>
          <w:sz w:val="32"/>
          <w:szCs w:val="32"/>
        </w:rPr>
        <w:t>1</w:t>
      </w:r>
      <w:r>
        <w:rPr>
          <w:rFonts w:hint="eastAsia" w:ascii="仿宋_GB2312" w:eastAsia="仿宋_GB2312"/>
          <w:sz w:val="32"/>
          <w:szCs w:val="32"/>
          <w:lang w:val="en-US" w:eastAsia="zh-CN"/>
        </w:rPr>
        <w:t>,</w:t>
      </w:r>
      <w:r>
        <w:rPr>
          <w:rFonts w:ascii="仿宋_GB2312" w:eastAsia="仿宋_GB2312"/>
          <w:sz w:val="32"/>
          <w:szCs w:val="32"/>
        </w:rPr>
        <w:t>812.59</w:t>
      </w:r>
      <w:r>
        <w:rPr>
          <w:rFonts w:hint="eastAsia" w:ascii="仿宋_GB2312" w:eastAsia="仿宋_GB2312"/>
          <w:sz w:val="32"/>
          <w:szCs w:val="32"/>
        </w:rPr>
        <w:t>万元减少</w:t>
      </w:r>
      <w:r>
        <w:rPr>
          <w:rFonts w:ascii="仿宋_GB2312" w:eastAsia="仿宋_GB2312"/>
          <w:sz w:val="32"/>
          <w:szCs w:val="32"/>
        </w:rPr>
        <w:t>170.57</w:t>
      </w:r>
      <w:r>
        <w:rPr>
          <w:rFonts w:hint="eastAsia" w:ascii="仿宋_GB2312" w:eastAsia="仿宋_GB2312"/>
          <w:sz w:val="32"/>
          <w:szCs w:val="32"/>
        </w:rPr>
        <w:t>万元，下降9</w:t>
      </w:r>
      <w:r>
        <w:rPr>
          <w:rFonts w:ascii="仿宋_GB2312" w:eastAsia="仿宋_GB2312"/>
          <w:sz w:val="32"/>
          <w:szCs w:val="32"/>
        </w:rPr>
        <w:t>.41</w:t>
      </w:r>
      <w:r>
        <w:rPr>
          <w:rFonts w:hint="eastAsia" w:ascii="仿宋_GB2312" w:eastAsia="仿宋_GB2312"/>
          <w:sz w:val="32"/>
          <w:szCs w:val="32"/>
        </w:rPr>
        <w:t>%。</w:t>
      </w:r>
    </w:p>
    <w:p w14:paraId="62507966">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321.91</w:t>
      </w:r>
      <w:r>
        <w:rPr>
          <w:rFonts w:hint="eastAsia" w:ascii="仿宋_GB2312" w:eastAsia="仿宋_GB2312"/>
          <w:sz w:val="32"/>
          <w:szCs w:val="32"/>
        </w:rPr>
        <w:t>万元，比2024年年初预算数</w:t>
      </w:r>
      <w:r>
        <w:rPr>
          <w:rFonts w:ascii="仿宋_GB2312" w:eastAsia="仿宋_GB2312"/>
          <w:sz w:val="32"/>
          <w:szCs w:val="32"/>
        </w:rPr>
        <w:t>316.89</w:t>
      </w:r>
      <w:r>
        <w:rPr>
          <w:rFonts w:hint="eastAsia" w:ascii="仿宋_GB2312" w:eastAsia="仿宋_GB2312"/>
          <w:sz w:val="32"/>
          <w:szCs w:val="32"/>
        </w:rPr>
        <w:t>万元增加</w:t>
      </w:r>
      <w:r>
        <w:rPr>
          <w:rFonts w:ascii="仿宋_GB2312" w:eastAsia="仿宋_GB2312"/>
          <w:sz w:val="32"/>
          <w:szCs w:val="32"/>
        </w:rPr>
        <w:t>5.02</w:t>
      </w:r>
      <w:r>
        <w:rPr>
          <w:rFonts w:hint="eastAsia" w:ascii="仿宋_GB2312" w:eastAsia="仿宋_GB2312"/>
          <w:sz w:val="32"/>
          <w:szCs w:val="32"/>
        </w:rPr>
        <w:t>万元，增长</w:t>
      </w:r>
      <w:r>
        <w:rPr>
          <w:rFonts w:ascii="仿宋_GB2312" w:eastAsia="仿宋_GB2312"/>
          <w:sz w:val="32"/>
          <w:szCs w:val="32"/>
        </w:rPr>
        <w:t>1.58</w:t>
      </w:r>
      <w:r>
        <w:rPr>
          <w:rFonts w:hint="eastAsia" w:ascii="仿宋_GB2312" w:eastAsia="仿宋_GB2312"/>
          <w:sz w:val="32"/>
          <w:szCs w:val="32"/>
        </w:rPr>
        <w:t>%。其中：</w:t>
      </w:r>
    </w:p>
    <w:p w14:paraId="34249B1C">
      <w:pPr>
        <w:spacing w:line="560" w:lineRule="exact"/>
        <w:ind w:firstLine="640"/>
        <w:rPr>
          <w:rFonts w:ascii="仿宋_GB2312" w:eastAsia="仿宋_GB2312"/>
          <w:sz w:val="32"/>
          <w:szCs w:val="32"/>
        </w:rPr>
      </w:pPr>
      <w:r>
        <w:rPr>
          <w:rFonts w:hint="eastAsia" w:ascii="仿宋_GB2312" w:eastAsia="仿宋_GB2312"/>
          <w:sz w:val="32"/>
          <w:szCs w:val="32"/>
        </w:rPr>
        <w:t>1.事业单位经营支出</w:t>
      </w:r>
      <w:r>
        <w:rPr>
          <w:rFonts w:ascii="仿宋_GB2312" w:eastAsia="仿宋_GB2312"/>
          <w:sz w:val="32"/>
          <w:szCs w:val="32"/>
        </w:rPr>
        <w:t>0</w:t>
      </w:r>
      <w:r>
        <w:rPr>
          <w:rFonts w:hint="eastAsia" w:ascii="仿宋_GB2312" w:eastAsia="仿宋_GB2312"/>
          <w:sz w:val="32"/>
          <w:szCs w:val="32"/>
        </w:rPr>
        <w:t>万元。</w:t>
      </w:r>
    </w:p>
    <w:p w14:paraId="40AA0BDA">
      <w:pPr>
        <w:spacing w:line="560" w:lineRule="exact"/>
        <w:ind w:firstLine="64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sz w:val="32"/>
          <w:szCs w:val="32"/>
        </w:rPr>
        <w:t>0</w:t>
      </w:r>
      <w:r>
        <w:rPr>
          <w:rFonts w:hint="eastAsia" w:ascii="仿宋_GB2312" w:eastAsia="仿宋_GB2312"/>
          <w:sz w:val="32"/>
          <w:szCs w:val="32"/>
        </w:rPr>
        <w:t>万元。</w:t>
      </w:r>
    </w:p>
    <w:p w14:paraId="3850F82F">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w:t>
      </w:r>
      <w:r>
        <w:rPr>
          <w:rFonts w:ascii="仿宋_GB2312" w:eastAsia="仿宋_GB2312"/>
          <w:sz w:val="32"/>
          <w:szCs w:val="32"/>
        </w:rPr>
        <w:t>0</w:t>
      </w:r>
      <w:r>
        <w:rPr>
          <w:rFonts w:hint="eastAsia" w:ascii="仿宋_GB2312" w:eastAsia="仿宋_GB2312"/>
          <w:sz w:val="32"/>
          <w:szCs w:val="32"/>
        </w:rPr>
        <w:t>万元。</w:t>
      </w:r>
    </w:p>
    <w:p w14:paraId="0CE710E6">
      <w:pPr>
        <w:rPr>
          <w:rFonts w:ascii="仿宋_GB2312" w:eastAsia="仿宋_GB2312"/>
          <w:sz w:val="32"/>
          <w:szCs w:val="32"/>
        </w:rPr>
      </w:pPr>
    </w:p>
    <w:p w14:paraId="0AA64884">
      <w:pPr>
        <w:tabs>
          <w:tab w:val="left" w:pos="1103"/>
        </w:tabs>
        <w:rPr>
          <w:rFonts w:ascii="仿宋_GB2312" w:eastAsia="仿宋_GB2312"/>
          <w:sz w:val="32"/>
          <w:szCs w:val="32"/>
        </w:rPr>
      </w:pPr>
      <w:r>
        <w:rPr>
          <w:rFonts w:ascii="仿宋_GB2312" w:eastAsia="仿宋_GB2312"/>
          <w:sz w:val="32"/>
          <w:szCs w:val="32"/>
        </w:rPr>
        <w:tab/>
      </w:r>
      <w:r>
        <w:rPr>
          <w:rFonts w:ascii="仿宋_GB2312" w:eastAsia="仿宋_GB2312"/>
          <w:sz w:val="32"/>
          <w:szCs w:val="32"/>
        </w:rPr>
        <w:drawing>
          <wp:inline distT="0" distB="0" distL="0" distR="0">
            <wp:extent cx="4011295" cy="2597150"/>
            <wp:effectExtent l="0" t="0" r="825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011295" cy="2597150"/>
                    </a:xfrm>
                    <a:prstGeom prst="rect">
                      <a:avLst/>
                    </a:prstGeom>
                    <a:noFill/>
                  </pic:spPr>
                </pic:pic>
              </a:graphicData>
            </a:graphic>
          </wp:inline>
        </w:drawing>
      </w:r>
    </w:p>
    <w:p w14:paraId="0170D215">
      <w:pPr>
        <w:pStyle w:val="2"/>
        <w:ind w:firstLine="642"/>
        <w:jc w:val="center"/>
        <w:rPr>
          <w:sz w:val="32"/>
        </w:rPr>
      </w:pPr>
      <w:r>
        <w:rPr>
          <w:rFonts w:hint="eastAsia" w:ascii="仿宋_GB2312" w:eastAsia="仿宋_GB2312"/>
          <w:sz w:val="32"/>
        </w:rPr>
        <w:t>图2：基本支出和项目支出情况</w:t>
      </w:r>
    </w:p>
    <w:p w14:paraId="485AEF5C">
      <w:pPr>
        <w:numPr>
          <w:ilvl w:val="0"/>
          <w:numId w:val="2"/>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w:t>
      </w:r>
      <w:r>
        <w:rPr>
          <w:rFonts w:ascii="楷体_GB2312" w:hAnsi="楷体_GB2312" w:eastAsia="楷体_GB2312" w:cs="楷体_GB2312"/>
          <w:color w:val="000000"/>
          <w:sz w:val="32"/>
          <w:szCs w:val="32"/>
        </w:rPr>
        <w:t>0</w:t>
      </w:r>
      <w:r>
        <w:rPr>
          <w:rFonts w:hint="eastAsia" w:ascii="楷体_GB2312" w:hAnsi="楷体_GB2312" w:eastAsia="楷体_GB2312" w:cs="楷体_GB2312"/>
          <w:color w:val="000000"/>
          <w:sz w:val="32"/>
          <w:szCs w:val="32"/>
        </w:rPr>
        <w:t>万元。</w:t>
      </w:r>
    </w:p>
    <w:p w14:paraId="5F2959BE">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14:paraId="68EABBC3">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14:paraId="7182B401">
      <w:pPr>
        <w:spacing w:line="560" w:lineRule="exact"/>
        <w:ind w:firstLine="640" w:firstLineChars="200"/>
        <w:rPr>
          <w:rFonts w:ascii="仿宋_GB2312" w:eastAsia="仿宋_GB2312"/>
          <w:sz w:val="32"/>
          <w:szCs w:val="32"/>
        </w:rPr>
      </w:pPr>
      <w:r>
        <w:rPr>
          <w:rFonts w:hint="eastAsia" w:ascii="仿宋_GB2312" w:eastAsia="仿宋_GB2312"/>
          <w:sz w:val="32"/>
          <w:szCs w:val="32"/>
        </w:rPr>
        <w:t>北京医药健康科技发展中心因公出国（境）费用、公务接待费、公务用车购置和运行维护费开支单位包括1个</w:t>
      </w:r>
      <w:r>
        <w:rPr>
          <w:rFonts w:hint="eastAsia" w:ascii="仿宋_GB2312" w:eastAsia="仿宋_GB2312"/>
          <w:sz w:val="32"/>
          <w:szCs w:val="32"/>
          <w:lang w:val="en-US" w:eastAsia="zh-CN"/>
        </w:rPr>
        <w:t>事业</w:t>
      </w:r>
      <w:r>
        <w:rPr>
          <w:rFonts w:hint="eastAsia" w:ascii="仿宋_GB2312" w:eastAsia="仿宋_GB2312"/>
          <w:sz w:val="32"/>
          <w:szCs w:val="32"/>
        </w:rPr>
        <w:t>单位。</w:t>
      </w:r>
    </w:p>
    <w:p w14:paraId="448CD8BD">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14:paraId="203909A7">
      <w:pPr>
        <w:spacing w:line="560" w:lineRule="exact"/>
        <w:ind w:firstLine="640" w:firstLineChars="200"/>
        <w:rPr>
          <w:rFonts w:ascii="仿宋_GB2312" w:eastAsia="仿宋_GB2312"/>
          <w:sz w:val="32"/>
          <w:szCs w:val="32"/>
        </w:rPr>
      </w:pPr>
      <w:r>
        <w:rPr>
          <w:rFonts w:hint="eastAsia" w:ascii="仿宋_GB2312" w:eastAsia="仿宋_GB2312"/>
          <w:sz w:val="32"/>
          <w:szCs w:val="32"/>
        </w:rPr>
        <w:t>2025年财政拨款“三公”经费预算</w:t>
      </w:r>
      <w:r>
        <w:rPr>
          <w:rFonts w:ascii="仿宋_GB2312" w:eastAsia="仿宋_GB2312"/>
          <w:sz w:val="32"/>
          <w:szCs w:val="32"/>
        </w:rPr>
        <w:t>2.71</w:t>
      </w:r>
      <w:r>
        <w:rPr>
          <w:rFonts w:hint="eastAsia" w:ascii="仿宋_GB2312" w:eastAsia="仿宋_GB2312"/>
          <w:sz w:val="32"/>
          <w:szCs w:val="32"/>
        </w:rPr>
        <w:t>万元，比2024年财政拨款“三公”经费预算减少0</w:t>
      </w:r>
      <w:r>
        <w:rPr>
          <w:rFonts w:ascii="仿宋_GB2312" w:eastAsia="仿宋_GB2312"/>
          <w:sz w:val="32"/>
          <w:szCs w:val="32"/>
        </w:rPr>
        <w:t>.12</w:t>
      </w:r>
      <w:r>
        <w:rPr>
          <w:rFonts w:hint="eastAsia" w:ascii="仿宋_GB2312" w:eastAsia="仿宋_GB2312"/>
          <w:sz w:val="32"/>
          <w:szCs w:val="32"/>
        </w:rPr>
        <w:t>万元。其中：</w:t>
      </w:r>
    </w:p>
    <w:p w14:paraId="2A61B9E3">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1.因公出国（境）费用。2025年预算数</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万元，与2024年年初预算数</w:t>
      </w:r>
      <w:r>
        <w:rPr>
          <w:rFonts w:hint="eastAsia" w:ascii="仿宋_GB2312" w:eastAsia="仿宋_GB2312"/>
          <w:sz w:val="32"/>
          <w:szCs w:val="32"/>
          <w:lang w:val="en-US" w:eastAsia="zh-CN"/>
        </w:rPr>
        <w:t>0.00万元</w:t>
      </w:r>
      <w:r>
        <w:rPr>
          <w:rFonts w:hint="eastAsia" w:ascii="仿宋_GB2312" w:eastAsia="仿宋_GB2312"/>
          <w:sz w:val="32"/>
          <w:szCs w:val="32"/>
        </w:rPr>
        <w:t>持平。</w:t>
      </w:r>
    </w:p>
    <w:p w14:paraId="1428F498">
      <w:pPr>
        <w:spacing w:line="560" w:lineRule="exact"/>
        <w:ind w:firstLine="640" w:firstLineChars="200"/>
        <w:rPr>
          <w:rFonts w:ascii="仿宋_GB2312" w:eastAsia="仿宋_GB2312"/>
          <w:color w:val="C00000"/>
          <w:sz w:val="32"/>
          <w:szCs w:val="32"/>
        </w:rPr>
      </w:pPr>
      <w:r>
        <w:rPr>
          <w:rFonts w:hint="eastAsia" w:ascii="仿宋_GB2312" w:eastAsia="仿宋_GB2312"/>
          <w:sz w:val="32"/>
          <w:szCs w:val="32"/>
        </w:rPr>
        <w:t>2.公务接待费。2025年预算数</w:t>
      </w:r>
      <w:r>
        <w:rPr>
          <w:rFonts w:ascii="仿宋_GB2312" w:eastAsia="仿宋_GB2312"/>
          <w:sz w:val="32"/>
          <w:szCs w:val="32"/>
        </w:rPr>
        <w:t>0.33</w:t>
      </w:r>
      <w:r>
        <w:rPr>
          <w:rFonts w:hint="eastAsia" w:ascii="仿宋_GB2312" w:eastAsia="仿宋_GB2312"/>
          <w:sz w:val="32"/>
          <w:szCs w:val="32"/>
        </w:rPr>
        <w:t>万元，比2024年年初预算数</w:t>
      </w:r>
      <w:r>
        <w:rPr>
          <w:rFonts w:ascii="仿宋_GB2312" w:eastAsia="仿宋_GB2312"/>
          <w:sz w:val="32"/>
          <w:szCs w:val="32"/>
        </w:rPr>
        <w:t>0.45</w:t>
      </w:r>
      <w:r>
        <w:rPr>
          <w:rFonts w:hint="eastAsia" w:ascii="仿宋_GB2312" w:eastAsia="仿宋_GB2312"/>
          <w:sz w:val="32"/>
          <w:szCs w:val="32"/>
        </w:rPr>
        <w:t>万元减少0</w:t>
      </w:r>
      <w:r>
        <w:rPr>
          <w:rFonts w:ascii="仿宋_GB2312" w:eastAsia="仿宋_GB2312"/>
          <w:sz w:val="32"/>
          <w:szCs w:val="32"/>
        </w:rPr>
        <w:t>.12</w:t>
      </w:r>
      <w:r>
        <w:rPr>
          <w:rFonts w:hint="eastAsia" w:ascii="仿宋_GB2312" w:eastAsia="仿宋_GB2312"/>
          <w:sz w:val="32"/>
          <w:szCs w:val="32"/>
        </w:rPr>
        <w:t>万元，主要原因：落实政府“过紧日子”要求，进一步压减一般性支出。</w:t>
      </w:r>
    </w:p>
    <w:p w14:paraId="53171DAC">
      <w:pPr>
        <w:spacing w:line="540" w:lineRule="exact"/>
        <w:ind w:firstLine="640" w:firstLineChars="200"/>
        <w:rPr>
          <w:rFonts w:ascii="仿宋_GB2312" w:eastAsia="仿宋_GB2312"/>
          <w:color w:val="C00000"/>
          <w:sz w:val="32"/>
          <w:szCs w:val="32"/>
        </w:rPr>
      </w:pPr>
      <w:r>
        <w:rPr>
          <w:rFonts w:hint="eastAsia" w:ascii="仿宋_GB2312" w:eastAsia="仿宋_GB2312"/>
          <w:sz w:val="32"/>
          <w:szCs w:val="32"/>
        </w:rPr>
        <w:t>3.公务用车购置和运行维护费。2025年预算数</w:t>
      </w:r>
      <w:r>
        <w:rPr>
          <w:rFonts w:ascii="仿宋_GB2312" w:eastAsia="仿宋_GB2312"/>
          <w:sz w:val="32"/>
          <w:szCs w:val="32"/>
        </w:rPr>
        <w:t>2.38</w:t>
      </w:r>
      <w:r>
        <w:rPr>
          <w:rFonts w:hint="eastAsia" w:ascii="仿宋_GB2312" w:eastAsia="仿宋_GB2312"/>
          <w:sz w:val="32"/>
          <w:szCs w:val="32"/>
        </w:rPr>
        <w:t>万元，包括：公务用车购置费2025年预算数</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万元，与2024年年初预算数</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万元持平；公务用车运行维护费2025年预算数</w:t>
      </w:r>
      <w:r>
        <w:rPr>
          <w:rFonts w:ascii="仿宋_GB2312" w:eastAsia="仿宋_GB2312"/>
          <w:sz w:val="32"/>
          <w:szCs w:val="32"/>
        </w:rPr>
        <w:t>2.38</w:t>
      </w:r>
      <w:r>
        <w:rPr>
          <w:rFonts w:hint="eastAsia" w:ascii="仿宋_GB2312" w:eastAsia="仿宋_GB2312"/>
          <w:sz w:val="32"/>
          <w:szCs w:val="32"/>
        </w:rPr>
        <w:t>万元，其中：公务用车燃油</w:t>
      </w:r>
      <w:r>
        <w:rPr>
          <w:rFonts w:ascii="仿宋_GB2312" w:eastAsia="仿宋_GB2312"/>
          <w:sz w:val="32"/>
          <w:szCs w:val="32"/>
        </w:rPr>
        <w:t>1.20</w:t>
      </w:r>
      <w:r>
        <w:rPr>
          <w:rFonts w:hint="eastAsia" w:ascii="仿宋_GB2312" w:eastAsia="仿宋_GB2312"/>
          <w:sz w:val="32"/>
          <w:szCs w:val="32"/>
        </w:rPr>
        <w:t>万元，公务用车维修</w:t>
      </w:r>
      <w:r>
        <w:rPr>
          <w:rFonts w:ascii="仿宋_GB2312" w:eastAsia="仿宋_GB2312"/>
          <w:sz w:val="32"/>
          <w:szCs w:val="32"/>
        </w:rPr>
        <w:t>0.43</w:t>
      </w:r>
      <w:r>
        <w:rPr>
          <w:rFonts w:hint="eastAsia" w:ascii="仿宋_GB2312" w:eastAsia="仿宋_GB2312"/>
          <w:sz w:val="32"/>
          <w:szCs w:val="32"/>
        </w:rPr>
        <w:t>万元，公务用车保险</w:t>
      </w:r>
      <w:r>
        <w:rPr>
          <w:rFonts w:ascii="仿宋_GB2312" w:eastAsia="仿宋_GB2312"/>
          <w:sz w:val="32"/>
          <w:szCs w:val="32"/>
        </w:rPr>
        <w:t>0.43</w:t>
      </w:r>
      <w:r>
        <w:rPr>
          <w:rFonts w:hint="eastAsia" w:ascii="仿宋_GB2312" w:eastAsia="仿宋_GB2312"/>
          <w:sz w:val="32"/>
          <w:szCs w:val="32"/>
        </w:rPr>
        <w:t>万元，其他支出</w:t>
      </w:r>
      <w:r>
        <w:rPr>
          <w:rFonts w:ascii="仿宋_GB2312" w:eastAsia="仿宋_GB2312"/>
          <w:sz w:val="32"/>
          <w:szCs w:val="32"/>
        </w:rPr>
        <w:t>0.32</w:t>
      </w:r>
      <w:r>
        <w:rPr>
          <w:rFonts w:hint="eastAsia" w:ascii="仿宋_GB2312" w:eastAsia="仿宋_GB2312"/>
          <w:sz w:val="32"/>
          <w:szCs w:val="32"/>
        </w:rPr>
        <w:t>万元。公务用车运行维护费2025年预算数与2024年年初预算数</w:t>
      </w:r>
      <w:r>
        <w:rPr>
          <w:rFonts w:ascii="仿宋_GB2312" w:eastAsia="仿宋_GB2312"/>
          <w:sz w:val="32"/>
          <w:szCs w:val="32"/>
        </w:rPr>
        <w:t>2.38</w:t>
      </w:r>
      <w:r>
        <w:rPr>
          <w:rFonts w:hint="eastAsia" w:ascii="仿宋_GB2312" w:eastAsia="仿宋_GB2312"/>
          <w:sz w:val="32"/>
          <w:szCs w:val="32"/>
        </w:rPr>
        <w:t>万元持平。</w:t>
      </w:r>
    </w:p>
    <w:p w14:paraId="0F11FFDA">
      <w:pPr>
        <w:spacing w:line="560" w:lineRule="exact"/>
        <w:ind w:firstLine="640" w:firstLineChars="200"/>
        <w:rPr>
          <w:rFonts w:ascii="黑体" w:eastAsia="黑体"/>
          <w:sz w:val="32"/>
          <w:szCs w:val="32"/>
        </w:rPr>
      </w:pPr>
      <w:r>
        <w:rPr>
          <w:rFonts w:hint="eastAsia" w:ascii="黑体" w:eastAsia="黑体"/>
          <w:sz w:val="32"/>
          <w:szCs w:val="32"/>
        </w:rPr>
        <w:t>五、其他情况说明</w:t>
      </w:r>
    </w:p>
    <w:p w14:paraId="579D1EBF">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14:paraId="58B5D23B">
      <w:pPr>
        <w:spacing w:line="560" w:lineRule="exact"/>
        <w:ind w:firstLine="640" w:firstLineChars="200"/>
        <w:rPr>
          <w:rFonts w:ascii="仿宋_GB2312" w:eastAsia="仿宋_GB2312"/>
          <w:sz w:val="32"/>
          <w:szCs w:val="32"/>
        </w:rPr>
      </w:pPr>
      <w:r>
        <w:rPr>
          <w:rFonts w:hint="eastAsia" w:ascii="仿宋_GB2312" w:eastAsia="仿宋_GB2312"/>
          <w:sz w:val="32"/>
          <w:szCs w:val="32"/>
        </w:rPr>
        <w:t>2025年北京医药健康科技发展中心政府采购预算总额</w:t>
      </w:r>
      <w:r>
        <w:rPr>
          <w:rFonts w:ascii="仿宋_GB2312" w:eastAsia="仿宋_GB2312"/>
          <w:sz w:val="32"/>
          <w:szCs w:val="32"/>
        </w:rPr>
        <w:t>44.48</w:t>
      </w:r>
      <w:r>
        <w:rPr>
          <w:rFonts w:hint="eastAsia" w:ascii="仿宋_GB2312" w:eastAsia="仿宋_GB2312"/>
          <w:sz w:val="32"/>
          <w:szCs w:val="32"/>
        </w:rPr>
        <w:t>万元，其中：政府采购货物预算</w:t>
      </w:r>
      <w:r>
        <w:rPr>
          <w:rFonts w:ascii="仿宋_GB2312" w:eastAsia="仿宋_GB2312"/>
          <w:sz w:val="32"/>
          <w:szCs w:val="32"/>
        </w:rPr>
        <w:t>18.00</w:t>
      </w:r>
      <w:r>
        <w:rPr>
          <w:rFonts w:hint="eastAsia" w:ascii="仿宋_GB2312" w:eastAsia="仿宋_GB2312"/>
          <w:sz w:val="32"/>
          <w:szCs w:val="32"/>
        </w:rPr>
        <w:t>万元，政府采购工程预算</w:t>
      </w:r>
      <w:r>
        <w:rPr>
          <w:rFonts w:ascii="仿宋_GB2312" w:eastAsia="仿宋_GB2312"/>
          <w:sz w:val="32"/>
          <w:szCs w:val="32"/>
        </w:rPr>
        <w:t>0</w:t>
      </w:r>
      <w:r>
        <w:rPr>
          <w:rFonts w:hint="eastAsia" w:ascii="仿宋_GB2312" w:eastAsia="仿宋_GB2312"/>
          <w:sz w:val="32"/>
          <w:szCs w:val="32"/>
        </w:rPr>
        <w:t>万元，政府采购服务预算</w:t>
      </w:r>
      <w:r>
        <w:rPr>
          <w:rFonts w:ascii="仿宋_GB2312" w:eastAsia="仿宋_GB2312"/>
          <w:sz w:val="32"/>
          <w:szCs w:val="32"/>
        </w:rPr>
        <w:t>26.48</w:t>
      </w:r>
      <w:r>
        <w:rPr>
          <w:rFonts w:hint="eastAsia" w:ascii="仿宋_GB2312" w:eastAsia="仿宋_GB2312"/>
          <w:sz w:val="32"/>
          <w:szCs w:val="32"/>
        </w:rPr>
        <w:t>万元。</w:t>
      </w:r>
    </w:p>
    <w:p w14:paraId="05AE215E">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14:paraId="601C434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本单位不属于政府购买服务购买主体。</w:t>
      </w:r>
    </w:p>
    <w:p w14:paraId="0281ED16">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14:paraId="2A03971C">
      <w:pPr>
        <w:spacing w:line="560" w:lineRule="exact"/>
        <w:ind w:firstLine="640" w:firstLineChars="200"/>
        <w:rPr>
          <w:rFonts w:ascii="仿宋_GB2312" w:eastAsia="仿宋_GB2312"/>
          <w:sz w:val="32"/>
          <w:szCs w:val="32"/>
        </w:rPr>
      </w:pPr>
      <w:r>
        <w:rPr>
          <w:rFonts w:hint="eastAsia" w:ascii="仿宋_GB2312" w:eastAsia="仿宋_GB2312"/>
          <w:color w:val="auto"/>
          <w:sz w:val="32"/>
          <w:szCs w:val="32"/>
          <w:u w:val="none"/>
        </w:rPr>
        <w:t>本</w:t>
      </w:r>
      <w:r>
        <w:rPr>
          <w:rFonts w:hint="eastAsia" w:ascii="仿宋_GB2312" w:eastAsia="仿宋_GB2312"/>
          <w:sz w:val="32"/>
          <w:szCs w:val="32"/>
        </w:rPr>
        <w:t>单位不在机关运行经费统计范围之内。</w:t>
      </w:r>
    </w:p>
    <w:p w14:paraId="78280651">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14:paraId="4B4B6D6E">
      <w:pPr>
        <w:spacing w:line="560" w:lineRule="exact"/>
        <w:ind w:firstLine="640" w:firstLineChars="200"/>
        <w:rPr>
          <w:rFonts w:ascii="仿宋_GB2312" w:eastAsia="仿宋_GB2312"/>
          <w:sz w:val="32"/>
          <w:szCs w:val="32"/>
        </w:rPr>
      </w:pPr>
      <w:r>
        <w:rPr>
          <w:rFonts w:hint="eastAsia" w:ascii="仿宋_GB2312" w:eastAsia="仿宋_GB2312"/>
          <w:sz w:val="32"/>
          <w:szCs w:val="32"/>
        </w:rPr>
        <w:t>2025年，北京医药健康科技发展中心填报绩效目标的预算项目</w:t>
      </w:r>
      <w:r>
        <w:rPr>
          <w:rFonts w:ascii="仿宋_GB2312" w:eastAsia="仿宋_GB2312"/>
          <w:sz w:val="32"/>
          <w:szCs w:val="32"/>
        </w:rPr>
        <w:t>3</w:t>
      </w:r>
      <w:r>
        <w:rPr>
          <w:rFonts w:hint="eastAsia" w:ascii="仿宋_GB2312" w:eastAsia="仿宋_GB2312"/>
          <w:sz w:val="32"/>
          <w:szCs w:val="32"/>
        </w:rPr>
        <w:t>个，占本单位本年预算项目</w:t>
      </w:r>
      <w:r>
        <w:rPr>
          <w:rFonts w:ascii="仿宋_GB2312" w:eastAsia="仿宋_GB2312"/>
          <w:sz w:val="32"/>
          <w:szCs w:val="32"/>
        </w:rPr>
        <w:t>3</w:t>
      </w:r>
      <w:r>
        <w:rPr>
          <w:rFonts w:hint="eastAsia" w:ascii="仿宋_GB2312" w:eastAsia="仿宋_GB2312"/>
          <w:sz w:val="32"/>
          <w:szCs w:val="32"/>
        </w:rPr>
        <w:t>个的</w:t>
      </w:r>
      <w:r>
        <w:rPr>
          <w:rFonts w:ascii="仿宋_GB2312" w:eastAsia="仿宋_GB2312"/>
          <w:sz w:val="32"/>
          <w:szCs w:val="32"/>
        </w:rPr>
        <w:t>100.00</w:t>
      </w:r>
      <w:r>
        <w:rPr>
          <w:rFonts w:hint="eastAsia" w:ascii="仿宋_GB2312" w:eastAsia="仿宋_GB2312"/>
          <w:sz w:val="32"/>
          <w:szCs w:val="32"/>
        </w:rPr>
        <w:t>%。填报绩效目标的项目支出预算</w:t>
      </w:r>
      <w:r>
        <w:rPr>
          <w:rFonts w:ascii="仿宋_GB2312" w:eastAsia="仿宋_GB2312"/>
          <w:sz w:val="32"/>
          <w:szCs w:val="32"/>
        </w:rPr>
        <w:t>321.91</w:t>
      </w:r>
      <w:r>
        <w:rPr>
          <w:rFonts w:hint="eastAsia" w:ascii="仿宋_GB2312" w:eastAsia="仿宋_GB2312"/>
          <w:sz w:val="32"/>
          <w:szCs w:val="32"/>
        </w:rPr>
        <w:t>万元，占本单位本年项目支出预算的</w:t>
      </w:r>
      <w:r>
        <w:rPr>
          <w:rFonts w:ascii="仿宋_GB2312" w:eastAsia="仿宋_GB2312"/>
          <w:sz w:val="32"/>
          <w:szCs w:val="32"/>
        </w:rPr>
        <w:t>100.00</w:t>
      </w:r>
      <w:r>
        <w:rPr>
          <w:rFonts w:hint="eastAsia" w:ascii="仿宋_GB2312" w:eastAsia="仿宋_GB2312"/>
          <w:sz w:val="32"/>
          <w:szCs w:val="32"/>
        </w:rPr>
        <w:t>%。</w:t>
      </w:r>
    </w:p>
    <w:p w14:paraId="54765D71">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14:paraId="6018DA78">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本单位2025年无重点行政事业性收费。</w:t>
      </w:r>
    </w:p>
    <w:p w14:paraId="710A5972">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14:paraId="7FF6B22E">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本单位2025</w:t>
      </w:r>
      <w:r>
        <w:rPr>
          <w:rFonts w:hint="eastAsia" w:ascii="仿宋_GB2312" w:eastAsia="仿宋_GB2312"/>
          <w:color w:val="000000"/>
          <w:sz w:val="32"/>
          <w:szCs w:val="32"/>
        </w:rPr>
        <w:t>年无国有资本经营预算财政拨款安排的预算。</w:t>
      </w:r>
    </w:p>
    <w:p w14:paraId="53408393">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（七）国有资产占用情况说明</w:t>
      </w:r>
    </w:p>
    <w:p w14:paraId="195222C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截至2024年底，北京医药健康科技发展中心共有车辆</w:t>
      </w:r>
      <w:r>
        <w:rPr>
          <w:rFonts w:ascii="仿宋_GB2312" w:eastAsia="仿宋_GB2312"/>
          <w:color w:val="000000"/>
          <w:sz w:val="32"/>
          <w:szCs w:val="32"/>
        </w:rPr>
        <w:t>1</w:t>
      </w:r>
      <w:r>
        <w:rPr>
          <w:rFonts w:hint="eastAsia" w:ascii="仿宋_GB2312" w:eastAsia="仿宋_GB2312"/>
          <w:color w:val="000000"/>
          <w:sz w:val="32"/>
          <w:szCs w:val="32"/>
        </w:rPr>
        <w:t>台，共计</w:t>
      </w:r>
      <w:r>
        <w:rPr>
          <w:rFonts w:ascii="仿宋_GB2312" w:eastAsia="仿宋_GB2312"/>
          <w:color w:val="000000"/>
          <w:sz w:val="32"/>
          <w:szCs w:val="32"/>
        </w:rPr>
        <w:t>17.00</w:t>
      </w:r>
      <w:r>
        <w:rPr>
          <w:rFonts w:hint="eastAsia" w:ascii="仿宋_GB2312" w:eastAsia="仿宋_GB2312"/>
          <w:color w:val="000000"/>
          <w:sz w:val="32"/>
          <w:szCs w:val="32"/>
        </w:rPr>
        <w:t>万元；单位价值50万元以上的设备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w:t>
      </w:r>
      <w:r>
        <w:rPr>
          <w:rFonts w:hint="eastAsia" w:ascii="仿宋_GB2312" w:eastAsia="仿宋_GB2312"/>
          <w:color w:val="000000"/>
          <w:sz w:val="32"/>
          <w:szCs w:val="32"/>
        </w:rPr>
        <w:t>万元。2025年预算安排中，购置单位价值50万元以上的设备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w:t>
      </w:r>
      <w:r>
        <w:rPr>
          <w:rFonts w:hint="eastAsia" w:ascii="仿宋_GB2312" w:eastAsia="仿宋_GB2312"/>
          <w:color w:val="000000"/>
          <w:sz w:val="32"/>
          <w:szCs w:val="32"/>
        </w:rPr>
        <w:t>万元。</w:t>
      </w:r>
    </w:p>
    <w:p w14:paraId="43E1DE39">
      <w:pPr>
        <w:spacing w:line="560" w:lineRule="exact"/>
        <w:ind w:firstLine="640" w:firstLineChars="200"/>
        <w:rPr>
          <w:rFonts w:hint="eastAsia" w:ascii="仿宋_GB2312" w:eastAsia="仿宋_GB2312"/>
          <w:color w:val="000000"/>
          <w:spacing w:val="0"/>
          <w:sz w:val="32"/>
          <w:szCs w:val="32"/>
        </w:rPr>
      </w:pPr>
      <w:r>
        <w:rPr>
          <w:rFonts w:hint="eastAsia" w:ascii="仿宋_GB2312" w:eastAsia="仿宋_GB2312"/>
          <w:color w:val="000000"/>
          <w:sz w:val="32"/>
        </w:rPr>
        <w:t xml:space="preserve"> </w:t>
      </w:r>
      <w:r>
        <w:rPr>
          <w:rFonts w:hint="eastAsia" w:ascii="黑体" w:eastAsia="黑体"/>
          <w:b w:val="0"/>
          <w:bCs w:val="0"/>
          <w:sz w:val="32"/>
          <w:szCs w:val="32"/>
        </w:rPr>
        <w:t xml:space="preserve"> </w:t>
      </w:r>
      <w:r>
        <w:rPr>
          <w:rFonts w:hint="eastAsia" w:ascii="黑体" w:eastAsia="黑体"/>
          <w:sz w:val="32"/>
          <w:szCs w:val="32"/>
        </w:rPr>
        <w:t>六、名词解释</w:t>
      </w:r>
    </w:p>
    <w:p w14:paraId="570F5E3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14:paraId="3E1E52D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14:paraId="407ECDC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u w:val="none"/>
        </w:rPr>
        <w:t>“三公”经费财政拨款预算数：指本</w:t>
      </w:r>
      <w:r>
        <w:rPr>
          <w:rFonts w:hint="eastAsia" w:ascii="仿宋_GB2312" w:eastAsia="仿宋_GB2312"/>
          <w:color w:val="000000"/>
          <w:sz w:val="32"/>
          <w:szCs w:val="32"/>
          <w:u w:val="none"/>
          <w:lang w:val="en-US" w:eastAsia="zh-CN"/>
        </w:rPr>
        <w:t>单位</w:t>
      </w:r>
      <w:r>
        <w:rPr>
          <w:rFonts w:hint="eastAsia" w:ascii="仿宋_GB2312" w:eastAsia="仿宋_GB2312"/>
          <w:color w:val="000000"/>
          <w:sz w:val="32"/>
          <w:szCs w:val="32"/>
          <w:u w:val="none"/>
        </w:rPr>
        <w:t>当年部门预算</w:t>
      </w:r>
      <w:r>
        <w:rPr>
          <w:rFonts w:hint="eastAsia" w:ascii="仿宋_GB2312" w:eastAsia="仿宋_GB2312"/>
          <w:color w:val="000000"/>
          <w:sz w:val="32"/>
          <w:szCs w:val="32"/>
          <w:u w:val="none"/>
          <w:lang w:eastAsia="zh-CN"/>
        </w:rPr>
        <w:t>中财政拨款</w:t>
      </w:r>
      <w:r>
        <w:rPr>
          <w:rFonts w:hint="eastAsia" w:ascii="仿宋_GB2312" w:eastAsia="仿宋_GB2312"/>
          <w:color w:val="000000"/>
          <w:sz w:val="32"/>
          <w:szCs w:val="32"/>
          <w:u w:val="none"/>
        </w:rPr>
        <w:t>安排的因公出国（境）费用、公务接待费、公务用车购置和运行维护费预算数。</w:t>
      </w:r>
    </w:p>
    <w:p w14:paraId="6224CAD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2B465B45">
      <w:pPr>
        <w:spacing w:line="240" w:lineRule="auto"/>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14:paraId="60C04638">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14:paraId="690C6B3E">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附件：北京医药健康科技发展中心2025年度单位预算报表</w:t>
      </w:r>
      <w:r>
        <w:rPr>
          <w:rFonts w:hint="eastAsia" w:ascii="仿宋_GB2312" w:eastAsia="仿宋_GB2312" w:cs="宋体"/>
          <w:color w:val="000000"/>
          <w:kern w:val="0"/>
          <w:sz w:val="32"/>
          <w:szCs w:val="32"/>
          <w:lang w:val="zh-CN"/>
        </w:rPr>
        <w:t xml:space="preserve"> </w:t>
      </w:r>
    </w:p>
    <w:p w14:paraId="6F381688"/>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方正公文小标宋"/>
    <w:panose1 w:val="00000000000000000000"/>
    <w:charset w:val="00"/>
    <w:family w:val="auto"/>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9A0E1">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5C72B1">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525C72B1">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txbxContent>
              </v:textbox>
            </v:shape>
          </w:pict>
        </mc:Fallback>
      </mc:AlternateContent>
    </w:r>
  </w:p>
  <w:p w14:paraId="055F5ACE">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3567DDCB"/>
    <w:multiLevelType w:val="singleLevel"/>
    <w:tmpl w:val="3567DDC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31F96"/>
    <w:rsid w:val="0000209B"/>
    <w:rsid w:val="00004C08"/>
    <w:rsid w:val="000323C0"/>
    <w:rsid w:val="00053AB8"/>
    <w:rsid w:val="0006417C"/>
    <w:rsid w:val="00070B9E"/>
    <w:rsid w:val="0007495A"/>
    <w:rsid w:val="000A7CE9"/>
    <w:rsid w:val="000C24E1"/>
    <w:rsid w:val="000C5498"/>
    <w:rsid w:val="000C7658"/>
    <w:rsid w:val="000D6133"/>
    <w:rsid w:val="000D63F3"/>
    <w:rsid w:val="000E223C"/>
    <w:rsid w:val="000E4BBF"/>
    <w:rsid w:val="000F0857"/>
    <w:rsid w:val="000F4514"/>
    <w:rsid w:val="000F65B8"/>
    <w:rsid w:val="00101536"/>
    <w:rsid w:val="00101BEB"/>
    <w:rsid w:val="00107B1E"/>
    <w:rsid w:val="0011249D"/>
    <w:rsid w:val="0011470B"/>
    <w:rsid w:val="00120C3F"/>
    <w:rsid w:val="0012235C"/>
    <w:rsid w:val="00125E20"/>
    <w:rsid w:val="001526BA"/>
    <w:rsid w:val="001813EC"/>
    <w:rsid w:val="0019091B"/>
    <w:rsid w:val="00194B77"/>
    <w:rsid w:val="001A6D48"/>
    <w:rsid w:val="001C0654"/>
    <w:rsid w:val="001C39B0"/>
    <w:rsid w:val="001D17B7"/>
    <w:rsid w:val="001E3B4D"/>
    <w:rsid w:val="001F05FC"/>
    <w:rsid w:val="001F1CF2"/>
    <w:rsid w:val="001F1EB0"/>
    <w:rsid w:val="001F2367"/>
    <w:rsid w:val="0020425E"/>
    <w:rsid w:val="00205C02"/>
    <w:rsid w:val="002400AA"/>
    <w:rsid w:val="00247E19"/>
    <w:rsid w:val="00252605"/>
    <w:rsid w:val="002540A8"/>
    <w:rsid w:val="00267999"/>
    <w:rsid w:val="00267D81"/>
    <w:rsid w:val="00275CCF"/>
    <w:rsid w:val="00281629"/>
    <w:rsid w:val="002843BF"/>
    <w:rsid w:val="00286A7A"/>
    <w:rsid w:val="00291E99"/>
    <w:rsid w:val="002B717B"/>
    <w:rsid w:val="002B71FD"/>
    <w:rsid w:val="002D36FD"/>
    <w:rsid w:val="002D4638"/>
    <w:rsid w:val="002E2181"/>
    <w:rsid w:val="002E6A04"/>
    <w:rsid w:val="002F117D"/>
    <w:rsid w:val="002F62A0"/>
    <w:rsid w:val="0030090D"/>
    <w:rsid w:val="00324583"/>
    <w:rsid w:val="00325EE7"/>
    <w:rsid w:val="0033608E"/>
    <w:rsid w:val="00352768"/>
    <w:rsid w:val="0036240B"/>
    <w:rsid w:val="003837D3"/>
    <w:rsid w:val="00395D60"/>
    <w:rsid w:val="003A1F1E"/>
    <w:rsid w:val="003C7C24"/>
    <w:rsid w:val="003D1F14"/>
    <w:rsid w:val="003D2511"/>
    <w:rsid w:val="003E2BE2"/>
    <w:rsid w:val="003E339C"/>
    <w:rsid w:val="003E4E15"/>
    <w:rsid w:val="003E5BE6"/>
    <w:rsid w:val="003F427B"/>
    <w:rsid w:val="003F6ACB"/>
    <w:rsid w:val="00403FC9"/>
    <w:rsid w:val="0042669A"/>
    <w:rsid w:val="004342B2"/>
    <w:rsid w:val="004377FD"/>
    <w:rsid w:val="0043785A"/>
    <w:rsid w:val="0044688C"/>
    <w:rsid w:val="0045208C"/>
    <w:rsid w:val="00461189"/>
    <w:rsid w:val="0047377F"/>
    <w:rsid w:val="0047403F"/>
    <w:rsid w:val="004757CF"/>
    <w:rsid w:val="00484AA4"/>
    <w:rsid w:val="00486726"/>
    <w:rsid w:val="004A075F"/>
    <w:rsid w:val="004A0961"/>
    <w:rsid w:val="004A2F51"/>
    <w:rsid w:val="004A5F66"/>
    <w:rsid w:val="004B5B9E"/>
    <w:rsid w:val="004C0B15"/>
    <w:rsid w:val="004C3A37"/>
    <w:rsid w:val="004C6D11"/>
    <w:rsid w:val="004D1A4B"/>
    <w:rsid w:val="004E2C11"/>
    <w:rsid w:val="004F0F55"/>
    <w:rsid w:val="004F3EF5"/>
    <w:rsid w:val="004F447F"/>
    <w:rsid w:val="0050123C"/>
    <w:rsid w:val="00514954"/>
    <w:rsid w:val="00515BF1"/>
    <w:rsid w:val="00521DE1"/>
    <w:rsid w:val="0052568F"/>
    <w:rsid w:val="005359B3"/>
    <w:rsid w:val="0054533C"/>
    <w:rsid w:val="00547A07"/>
    <w:rsid w:val="00552198"/>
    <w:rsid w:val="005637B7"/>
    <w:rsid w:val="0056673B"/>
    <w:rsid w:val="00567B1D"/>
    <w:rsid w:val="00574BC8"/>
    <w:rsid w:val="00583F6B"/>
    <w:rsid w:val="005A1910"/>
    <w:rsid w:val="005A5CB3"/>
    <w:rsid w:val="005A6647"/>
    <w:rsid w:val="005A6A99"/>
    <w:rsid w:val="005B1171"/>
    <w:rsid w:val="005B6B3C"/>
    <w:rsid w:val="005D196C"/>
    <w:rsid w:val="005D2A68"/>
    <w:rsid w:val="005D6208"/>
    <w:rsid w:val="005F1380"/>
    <w:rsid w:val="005F76CB"/>
    <w:rsid w:val="005F7C07"/>
    <w:rsid w:val="00601755"/>
    <w:rsid w:val="00606331"/>
    <w:rsid w:val="00620172"/>
    <w:rsid w:val="006271C0"/>
    <w:rsid w:val="00637448"/>
    <w:rsid w:val="00641C8F"/>
    <w:rsid w:val="006426F4"/>
    <w:rsid w:val="00643612"/>
    <w:rsid w:val="006548A3"/>
    <w:rsid w:val="00672FF6"/>
    <w:rsid w:val="006733D4"/>
    <w:rsid w:val="006B0081"/>
    <w:rsid w:val="006C0198"/>
    <w:rsid w:val="006C30E6"/>
    <w:rsid w:val="006C73C4"/>
    <w:rsid w:val="006D2F89"/>
    <w:rsid w:val="006D7131"/>
    <w:rsid w:val="006F288C"/>
    <w:rsid w:val="006F613E"/>
    <w:rsid w:val="00702196"/>
    <w:rsid w:val="007048F5"/>
    <w:rsid w:val="00733C73"/>
    <w:rsid w:val="007413CC"/>
    <w:rsid w:val="0074277E"/>
    <w:rsid w:val="00756498"/>
    <w:rsid w:val="00764926"/>
    <w:rsid w:val="00766501"/>
    <w:rsid w:val="00767B32"/>
    <w:rsid w:val="007713F5"/>
    <w:rsid w:val="007806EE"/>
    <w:rsid w:val="00786EFB"/>
    <w:rsid w:val="007A605E"/>
    <w:rsid w:val="007B092D"/>
    <w:rsid w:val="007B4C20"/>
    <w:rsid w:val="007D12F8"/>
    <w:rsid w:val="007D3838"/>
    <w:rsid w:val="007D6F02"/>
    <w:rsid w:val="007E5CC8"/>
    <w:rsid w:val="007F6725"/>
    <w:rsid w:val="0081770C"/>
    <w:rsid w:val="00832607"/>
    <w:rsid w:val="00834F94"/>
    <w:rsid w:val="008424E3"/>
    <w:rsid w:val="008469CB"/>
    <w:rsid w:val="00846FBE"/>
    <w:rsid w:val="00854D61"/>
    <w:rsid w:val="0086027C"/>
    <w:rsid w:val="00865146"/>
    <w:rsid w:val="00865F27"/>
    <w:rsid w:val="00866713"/>
    <w:rsid w:val="008953E7"/>
    <w:rsid w:val="0089589C"/>
    <w:rsid w:val="008C2EF4"/>
    <w:rsid w:val="008C3A85"/>
    <w:rsid w:val="008D6040"/>
    <w:rsid w:val="008E0B2C"/>
    <w:rsid w:val="008E225D"/>
    <w:rsid w:val="008E7154"/>
    <w:rsid w:val="008F02FE"/>
    <w:rsid w:val="00900EB5"/>
    <w:rsid w:val="00904C46"/>
    <w:rsid w:val="00920A8B"/>
    <w:rsid w:val="00931B90"/>
    <w:rsid w:val="00936B27"/>
    <w:rsid w:val="0094061D"/>
    <w:rsid w:val="00942F3A"/>
    <w:rsid w:val="00943D9B"/>
    <w:rsid w:val="0095242F"/>
    <w:rsid w:val="00956777"/>
    <w:rsid w:val="00962857"/>
    <w:rsid w:val="009A1A88"/>
    <w:rsid w:val="009A3C47"/>
    <w:rsid w:val="009B0495"/>
    <w:rsid w:val="009B2803"/>
    <w:rsid w:val="009B7354"/>
    <w:rsid w:val="009C4BA4"/>
    <w:rsid w:val="009D6750"/>
    <w:rsid w:val="00A16760"/>
    <w:rsid w:val="00A17886"/>
    <w:rsid w:val="00A32301"/>
    <w:rsid w:val="00A32D72"/>
    <w:rsid w:val="00A478AF"/>
    <w:rsid w:val="00A52EB0"/>
    <w:rsid w:val="00A56CD8"/>
    <w:rsid w:val="00A9031F"/>
    <w:rsid w:val="00A90405"/>
    <w:rsid w:val="00A97A88"/>
    <w:rsid w:val="00AA0918"/>
    <w:rsid w:val="00AA4A75"/>
    <w:rsid w:val="00AC3AB2"/>
    <w:rsid w:val="00AC6E74"/>
    <w:rsid w:val="00AD0475"/>
    <w:rsid w:val="00AD34BA"/>
    <w:rsid w:val="00AD47D5"/>
    <w:rsid w:val="00AD5556"/>
    <w:rsid w:val="00AE4DD6"/>
    <w:rsid w:val="00AE5C40"/>
    <w:rsid w:val="00AE6F93"/>
    <w:rsid w:val="00AF67E4"/>
    <w:rsid w:val="00B0139F"/>
    <w:rsid w:val="00B07D95"/>
    <w:rsid w:val="00B14A44"/>
    <w:rsid w:val="00B172CD"/>
    <w:rsid w:val="00B25FA3"/>
    <w:rsid w:val="00B30A66"/>
    <w:rsid w:val="00B30D78"/>
    <w:rsid w:val="00B32F4B"/>
    <w:rsid w:val="00B37359"/>
    <w:rsid w:val="00B5323A"/>
    <w:rsid w:val="00B74585"/>
    <w:rsid w:val="00B81C9C"/>
    <w:rsid w:val="00B9183D"/>
    <w:rsid w:val="00B92EBC"/>
    <w:rsid w:val="00BB2C48"/>
    <w:rsid w:val="00BB3D56"/>
    <w:rsid w:val="00BC00EC"/>
    <w:rsid w:val="00BD252D"/>
    <w:rsid w:val="00BE2002"/>
    <w:rsid w:val="00BE64A5"/>
    <w:rsid w:val="00C04D13"/>
    <w:rsid w:val="00C07E20"/>
    <w:rsid w:val="00C10004"/>
    <w:rsid w:val="00C106DC"/>
    <w:rsid w:val="00C10BD5"/>
    <w:rsid w:val="00C26A2B"/>
    <w:rsid w:val="00C44445"/>
    <w:rsid w:val="00C668A1"/>
    <w:rsid w:val="00C703FE"/>
    <w:rsid w:val="00C727E2"/>
    <w:rsid w:val="00C72ADB"/>
    <w:rsid w:val="00C730E2"/>
    <w:rsid w:val="00C855D1"/>
    <w:rsid w:val="00C86A6E"/>
    <w:rsid w:val="00C96FAB"/>
    <w:rsid w:val="00CA2F12"/>
    <w:rsid w:val="00CA4013"/>
    <w:rsid w:val="00CA61B3"/>
    <w:rsid w:val="00CC2B15"/>
    <w:rsid w:val="00CC7854"/>
    <w:rsid w:val="00CD1984"/>
    <w:rsid w:val="00CD2B76"/>
    <w:rsid w:val="00CD4F20"/>
    <w:rsid w:val="00CE6997"/>
    <w:rsid w:val="00D043D4"/>
    <w:rsid w:val="00D065EC"/>
    <w:rsid w:val="00D156D9"/>
    <w:rsid w:val="00D16E8B"/>
    <w:rsid w:val="00D26CCB"/>
    <w:rsid w:val="00D32D35"/>
    <w:rsid w:val="00D35452"/>
    <w:rsid w:val="00D371A8"/>
    <w:rsid w:val="00D408BF"/>
    <w:rsid w:val="00D42A54"/>
    <w:rsid w:val="00D51F34"/>
    <w:rsid w:val="00D52FC9"/>
    <w:rsid w:val="00D616A7"/>
    <w:rsid w:val="00D67598"/>
    <w:rsid w:val="00D67C04"/>
    <w:rsid w:val="00D93181"/>
    <w:rsid w:val="00DA0526"/>
    <w:rsid w:val="00DB6BF1"/>
    <w:rsid w:val="00DC4D16"/>
    <w:rsid w:val="00DC68A9"/>
    <w:rsid w:val="00DD495A"/>
    <w:rsid w:val="00DD665B"/>
    <w:rsid w:val="00DE0E53"/>
    <w:rsid w:val="00DF2D40"/>
    <w:rsid w:val="00E00148"/>
    <w:rsid w:val="00E327F9"/>
    <w:rsid w:val="00E439BD"/>
    <w:rsid w:val="00E45C45"/>
    <w:rsid w:val="00E55CAB"/>
    <w:rsid w:val="00E77AB5"/>
    <w:rsid w:val="00E77E75"/>
    <w:rsid w:val="00E90DB9"/>
    <w:rsid w:val="00EC72ED"/>
    <w:rsid w:val="00ED03F8"/>
    <w:rsid w:val="00ED5397"/>
    <w:rsid w:val="00EE2372"/>
    <w:rsid w:val="00EE78B4"/>
    <w:rsid w:val="00F06217"/>
    <w:rsid w:val="00F16A98"/>
    <w:rsid w:val="00F416B4"/>
    <w:rsid w:val="00F436FD"/>
    <w:rsid w:val="00F55E8B"/>
    <w:rsid w:val="00F626DC"/>
    <w:rsid w:val="00F62AC3"/>
    <w:rsid w:val="00F74521"/>
    <w:rsid w:val="00F85C9A"/>
    <w:rsid w:val="00F8711D"/>
    <w:rsid w:val="00F877EC"/>
    <w:rsid w:val="00F9045A"/>
    <w:rsid w:val="00F93481"/>
    <w:rsid w:val="00F97712"/>
    <w:rsid w:val="00FA20FD"/>
    <w:rsid w:val="00FA5D1F"/>
    <w:rsid w:val="00FB4CD1"/>
    <w:rsid w:val="00FC31B6"/>
    <w:rsid w:val="00FD35FA"/>
    <w:rsid w:val="00FD74C8"/>
    <w:rsid w:val="00FF35D9"/>
    <w:rsid w:val="00FF3AE0"/>
    <w:rsid w:val="02727CA7"/>
    <w:rsid w:val="07DF1ED0"/>
    <w:rsid w:val="0C874EE1"/>
    <w:rsid w:val="0E410615"/>
    <w:rsid w:val="0E431F96"/>
    <w:rsid w:val="121A5CB9"/>
    <w:rsid w:val="14FE1CDB"/>
    <w:rsid w:val="19F63B69"/>
    <w:rsid w:val="25FC5726"/>
    <w:rsid w:val="2D483DC1"/>
    <w:rsid w:val="37506ECC"/>
    <w:rsid w:val="3F4F65F3"/>
    <w:rsid w:val="40097205"/>
    <w:rsid w:val="40A56CBB"/>
    <w:rsid w:val="41942687"/>
    <w:rsid w:val="42641245"/>
    <w:rsid w:val="436E7CB8"/>
    <w:rsid w:val="459D614F"/>
    <w:rsid w:val="512D50E8"/>
    <w:rsid w:val="526308B6"/>
    <w:rsid w:val="531D1302"/>
    <w:rsid w:val="59A00A55"/>
    <w:rsid w:val="5A200FE3"/>
    <w:rsid w:val="5D147594"/>
    <w:rsid w:val="61F019F2"/>
    <w:rsid w:val="63C05E4E"/>
    <w:rsid w:val="64267CB1"/>
    <w:rsid w:val="69366BE8"/>
    <w:rsid w:val="6ADE0DE6"/>
    <w:rsid w:val="6BDA256A"/>
    <w:rsid w:val="6D9B5E7A"/>
    <w:rsid w:val="70F81D2B"/>
    <w:rsid w:val="726B27E7"/>
    <w:rsid w:val="74203119"/>
    <w:rsid w:val="7CFB1F19"/>
    <w:rsid w:val="7D886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sz w:val="32"/>
      <w:szCs w:val="20"/>
    </w:rPr>
  </w:style>
  <w:style w:type="paragraph" w:styleId="5">
    <w:name w:val="Balloon Text"/>
    <w:basedOn w:val="1"/>
    <w:link w:val="12"/>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qFormat/>
    <w:uiPriority w:val="0"/>
    <w:rPr>
      <w:sz w:val="21"/>
      <w:szCs w:val="21"/>
    </w:rPr>
  </w:style>
  <w:style w:type="character" w:customStyle="1" w:styleId="11">
    <w:name w:val="页眉 Char"/>
    <w:basedOn w:val="9"/>
    <w:link w:val="7"/>
    <w:qFormat/>
    <w:uiPriority w:val="0"/>
    <w:rPr>
      <w:rFonts w:ascii="Times New Roman" w:hAnsi="Times New Roman" w:eastAsia="宋体" w:cs="Droid Sans"/>
      <w:kern w:val="2"/>
      <w:sz w:val="18"/>
      <w:szCs w:val="18"/>
    </w:rPr>
  </w:style>
  <w:style w:type="character" w:customStyle="1" w:styleId="12">
    <w:name w:val="批注框文本 Char"/>
    <w:basedOn w:val="9"/>
    <w:link w:val="5"/>
    <w:qFormat/>
    <w:uiPriority w:val="0"/>
    <w:rPr>
      <w:rFonts w:ascii="Times New Roman" w:hAnsi="Times New Roman" w:eastAsia="宋体" w:cs="Droid Sans"/>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2159</Words>
  <Characters>2468</Characters>
  <Lines>18</Lines>
  <Paragraphs>5</Paragraphs>
  <TotalTime>8</TotalTime>
  <ScaleCrop>false</ScaleCrop>
  <LinksUpToDate>false</LinksUpToDate>
  <CharactersWithSpaces>2511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2025-02-10T08:16:00Z</dcterms:created>
  <dc:creator>yd</dc:creator>
  <cp:lastModifiedBy>yd</cp:lastModifiedBy>
  <dcterms:modified xsi:type="dcterms:W3CDTF">2025-02-28T03:28:03Z</dcterms:modified>
  <cp:revision>333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3A8E16AE736647919F95A9B302CBB313_11</vt:lpwstr>
  </property>
  <property fmtid="{D5CDD505-2E9C-101B-9397-08002B2CF9AE}" pid="4" name="KSOTemplateDocerSaveRecord">
    <vt:lpwstr>eyJoZGlkIjoiNjllMTQ1N2NiYWJhNmE3MmJmNjczYjE3MmE0Mzc5ZDEiLCJ1c2VySWQiOiIxMjgzMzY4NzkzIn0=</vt:lpwstr>
  </property>
</Properties>
</file>