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0BA2C">
      <w:pPr>
        <w:pStyle w:val="3"/>
        <w:spacing w:line="240" w:lineRule="exact"/>
        <w:rPr>
          <w:rFonts w:hint="eastAsia" w:ascii="Cambria" w:eastAsia="黑体"/>
          <w:color w:val="auto"/>
          <w:sz w:val="36"/>
          <w:u w:val="none"/>
        </w:rPr>
      </w:pPr>
      <w:bookmarkStart w:id="0" w:name="_GoBack"/>
      <w:bookmarkEnd w:id="0"/>
    </w:p>
    <w:p w14:paraId="7FA07E82">
      <w:pPr>
        <w:spacing w:line="560" w:lineRule="exact"/>
        <w:jc w:val="center"/>
        <w:rPr>
          <w:rFonts w:hint="eastAsia" w:ascii="方正小标宋简体" w:eastAsia="方正小标宋简体"/>
          <w:color w:val="000000"/>
          <w:sz w:val="44"/>
          <w:szCs w:val="44"/>
          <w:u w:val="none"/>
          <w:lang w:eastAsia="zh-CN"/>
        </w:rPr>
      </w:pPr>
      <w:r>
        <w:rPr>
          <w:rFonts w:hint="eastAsia" w:ascii="方正小标宋简体" w:eastAsia="方正小标宋简体"/>
          <w:color w:val="000000"/>
          <w:sz w:val="44"/>
          <w:szCs w:val="44"/>
          <w:u w:val="none"/>
          <w:lang w:eastAsia="zh-CN"/>
        </w:rPr>
        <w:t>北京科技审评中心</w:t>
      </w:r>
    </w:p>
    <w:p w14:paraId="434AA965">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w:t>
      </w:r>
      <w:r>
        <w:rPr>
          <w:rFonts w:hint="eastAsia" w:ascii="方正小标宋简体" w:eastAsia="方正小标宋简体"/>
          <w:color w:val="000000"/>
          <w:sz w:val="44"/>
          <w:szCs w:val="44"/>
          <w:u w:val="none"/>
          <w:lang w:val="en-US" w:eastAsia="zh-CN"/>
        </w:rPr>
        <w:t>5</w:t>
      </w:r>
      <w:r>
        <w:rPr>
          <w:rFonts w:hint="eastAsia" w:ascii="方正小标宋简体" w:eastAsia="方正小标宋简体"/>
          <w:color w:val="000000"/>
          <w:sz w:val="44"/>
          <w:szCs w:val="44"/>
          <w:u w:val="none"/>
          <w:lang w:eastAsia="zh-CN"/>
        </w:rPr>
        <w:t>年度单位</w:t>
      </w:r>
      <w:r>
        <w:rPr>
          <w:rFonts w:hint="eastAsia" w:ascii="方正小标宋简体" w:eastAsia="方正小标宋简体"/>
          <w:color w:val="000000"/>
          <w:sz w:val="44"/>
          <w:szCs w:val="44"/>
          <w:u w:val="none"/>
        </w:rPr>
        <w:t>预算信息公开</w:t>
      </w:r>
    </w:p>
    <w:p w14:paraId="08BE1A6C">
      <w:pPr>
        <w:spacing w:line="240" w:lineRule="exact"/>
        <w:jc w:val="center"/>
        <w:rPr>
          <w:rFonts w:hint="eastAsia" w:ascii="方正小标宋简体" w:eastAsia="方正小标宋简体"/>
          <w:color w:val="000000"/>
          <w:sz w:val="32"/>
          <w:szCs w:val="32"/>
          <w:u w:val="none"/>
        </w:rPr>
      </w:pPr>
    </w:p>
    <w:p w14:paraId="270A366C">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1CBDF5C6">
      <w:pPr>
        <w:pStyle w:val="3"/>
        <w:rPr>
          <w:rFonts w:hint="default" w:ascii="Cambria" w:eastAsia="黑体"/>
          <w:color w:val="000000"/>
          <w:sz w:val="36"/>
          <w:szCs w:val="32"/>
        </w:rPr>
      </w:pPr>
    </w:p>
    <w:p w14:paraId="70F66460">
      <w:pPr>
        <w:spacing w:line="240" w:lineRule="exact"/>
        <w:jc w:val="center"/>
        <w:rPr>
          <w:rFonts w:hint="eastAsia" w:ascii="方正小标宋简体" w:eastAsia="方正小标宋简体"/>
          <w:color w:val="000000"/>
          <w:sz w:val="32"/>
          <w:szCs w:val="32"/>
          <w:u w:val="none"/>
        </w:rPr>
      </w:pPr>
    </w:p>
    <w:p w14:paraId="6BE3CB47">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w:t>
      </w:r>
      <w:r>
        <w:rPr>
          <w:rFonts w:hint="eastAsia" w:ascii="黑体" w:hAnsi="黑体" w:eastAsia="黑体" w:cs="黑体"/>
          <w:color w:val="000000"/>
          <w:sz w:val="32"/>
          <w:szCs w:val="32"/>
          <w:u w:val="none"/>
          <w:lang w:val="en-US" w:eastAsia="zh-CN"/>
        </w:rPr>
        <w:t>5</w:t>
      </w:r>
      <w:r>
        <w:rPr>
          <w:rFonts w:hint="eastAsia" w:ascii="黑体" w:hAnsi="黑体" w:eastAsia="黑体" w:cs="黑体"/>
          <w:color w:val="000000"/>
          <w:sz w:val="32"/>
          <w:szCs w:val="32"/>
          <w:u w:val="none"/>
          <w:lang w:eastAsia="zh-CN"/>
        </w:rPr>
        <w:t>年</w:t>
      </w:r>
      <w:r>
        <w:rPr>
          <w:rFonts w:hint="eastAsia" w:ascii="黑体" w:hAnsi="黑体" w:eastAsia="黑体" w:cs="黑体"/>
          <w:color w:val="000000"/>
          <w:sz w:val="32"/>
          <w:szCs w:val="32"/>
          <w:u w:val="none"/>
        </w:rPr>
        <w:t>度单位预算情况说明</w:t>
      </w:r>
    </w:p>
    <w:p w14:paraId="36BC3222">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3138E46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7907E5D3">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0920D896">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6C5001B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43CAD045">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6799A5B5">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w:t>
      </w:r>
      <w:r>
        <w:rPr>
          <w:rFonts w:hint="eastAsia" w:ascii="黑体" w:hAnsi="黑体" w:eastAsia="黑体" w:cs="黑体"/>
          <w:color w:val="000000"/>
          <w:sz w:val="32"/>
          <w:szCs w:val="32"/>
          <w:u w:val="none"/>
          <w:lang w:val="en-US" w:eastAsia="zh-CN"/>
        </w:rPr>
        <w:t>5</w:t>
      </w:r>
      <w:r>
        <w:rPr>
          <w:rFonts w:hint="eastAsia" w:ascii="黑体" w:hAnsi="黑体" w:eastAsia="黑体" w:cs="黑体"/>
          <w:color w:val="000000"/>
          <w:sz w:val="32"/>
          <w:szCs w:val="32"/>
          <w:u w:val="none"/>
          <w:lang w:eastAsia="zh-CN"/>
        </w:rPr>
        <w:t>年</w:t>
      </w:r>
      <w:r>
        <w:rPr>
          <w:rFonts w:hint="eastAsia" w:ascii="黑体" w:hAnsi="黑体" w:eastAsia="黑体" w:cs="黑体"/>
          <w:color w:val="000000"/>
          <w:sz w:val="32"/>
          <w:szCs w:val="32"/>
          <w:u w:val="none"/>
        </w:rPr>
        <w:t>度单位预算报表</w:t>
      </w:r>
    </w:p>
    <w:p w14:paraId="45FA39F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61C21FB0">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264ADE0A">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25977533">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1D3AD8C5">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38D3587F">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589D53EE">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557633B0">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0FFE6BF2">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0F5E82C8">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6A97AF38">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4E727DEB">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w:t>
      </w:r>
      <w:r>
        <w:rPr>
          <w:rFonts w:hint="eastAsia" w:ascii="仿宋_GB2312" w:hAnsi="仿宋_GB2312" w:eastAsia="仿宋_GB2312" w:cs="仿宋_GB2312"/>
          <w:color w:val="000000"/>
          <w:spacing w:val="0"/>
          <w:kern w:val="0"/>
          <w:sz w:val="32"/>
          <w:szCs w:val="32"/>
          <w:u w:val="none"/>
          <w:lang w:val="zh-CN"/>
        </w:rPr>
        <w:t>二、政府购买服务预算财政拨款明细表</w:t>
      </w:r>
    </w:p>
    <w:p w14:paraId="5EE32E3C">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1F785F71">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p>
    <w:p w14:paraId="0BBB2D04">
      <w:pPr>
        <w:spacing w:line="560" w:lineRule="exact"/>
        <w:jc w:val="center"/>
        <w:rPr>
          <w:rFonts w:hint="eastAsia" w:ascii="仿宋_GB2312" w:hAnsi="仿宋_GB2312" w:eastAsia="仿宋_GB2312" w:cs="仿宋_GB2312"/>
          <w:color w:val="000000"/>
          <w:sz w:val="36"/>
          <w:szCs w:val="36"/>
          <w:u w:val="none"/>
        </w:rPr>
      </w:pPr>
    </w:p>
    <w:p w14:paraId="3BB5B06C">
      <w:pPr>
        <w:spacing w:line="560" w:lineRule="exact"/>
        <w:jc w:val="center"/>
        <w:rPr>
          <w:rFonts w:hint="eastAsia" w:ascii="仿宋_GB2312" w:hAnsi="仿宋_GB2312" w:eastAsia="仿宋_GB2312" w:cs="仿宋_GB2312"/>
          <w:color w:val="000000"/>
          <w:sz w:val="36"/>
          <w:szCs w:val="36"/>
          <w:u w:val="none"/>
        </w:rPr>
      </w:pPr>
    </w:p>
    <w:p w14:paraId="2A0D7A51">
      <w:pPr>
        <w:spacing w:line="560" w:lineRule="exact"/>
        <w:jc w:val="center"/>
        <w:rPr>
          <w:rFonts w:hint="eastAsia" w:ascii="仿宋_GB2312" w:hAnsi="仿宋_GB2312" w:eastAsia="仿宋_GB2312" w:cs="仿宋_GB2312"/>
          <w:color w:val="000000"/>
          <w:sz w:val="36"/>
          <w:szCs w:val="36"/>
          <w:u w:val="none"/>
        </w:rPr>
      </w:pPr>
    </w:p>
    <w:p w14:paraId="4BB1E330">
      <w:pPr>
        <w:spacing w:line="560" w:lineRule="exact"/>
        <w:jc w:val="center"/>
        <w:rPr>
          <w:rFonts w:hint="eastAsia" w:ascii="仿宋_GB2312" w:hAnsi="仿宋_GB2312" w:eastAsia="仿宋_GB2312" w:cs="仿宋_GB2312"/>
          <w:color w:val="000000"/>
          <w:sz w:val="36"/>
          <w:szCs w:val="36"/>
          <w:u w:val="none"/>
        </w:rPr>
      </w:pPr>
    </w:p>
    <w:p w14:paraId="2FE95A8D">
      <w:pPr>
        <w:spacing w:line="560" w:lineRule="exact"/>
        <w:jc w:val="center"/>
        <w:rPr>
          <w:rFonts w:hint="eastAsia" w:ascii="仿宋_GB2312" w:hAnsi="仿宋_GB2312" w:eastAsia="仿宋_GB2312" w:cs="仿宋_GB2312"/>
          <w:color w:val="000000"/>
          <w:sz w:val="36"/>
          <w:szCs w:val="36"/>
          <w:u w:val="none"/>
        </w:rPr>
      </w:pPr>
    </w:p>
    <w:p w14:paraId="57E8286B">
      <w:pPr>
        <w:spacing w:line="560" w:lineRule="exact"/>
        <w:jc w:val="center"/>
        <w:rPr>
          <w:rFonts w:hint="eastAsia" w:ascii="仿宋_GB2312" w:hAnsi="仿宋_GB2312" w:eastAsia="仿宋_GB2312" w:cs="仿宋_GB2312"/>
          <w:color w:val="000000"/>
          <w:sz w:val="36"/>
          <w:szCs w:val="36"/>
          <w:u w:val="none"/>
        </w:rPr>
      </w:pPr>
    </w:p>
    <w:p w14:paraId="4DA7C4F6">
      <w:pPr>
        <w:spacing w:line="560" w:lineRule="exact"/>
        <w:jc w:val="center"/>
        <w:rPr>
          <w:rFonts w:hint="eastAsia" w:ascii="方正小标宋简体" w:eastAsia="方正小标宋简体"/>
          <w:color w:val="000000"/>
          <w:sz w:val="36"/>
          <w:szCs w:val="36"/>
          <w:u w:val="none"/>
        </w:rPr>
      </w:pPr>
    </w:p>
    <w:p w14:paraId="7D144A6F">
      <w:pPr>
        <w:spacing w:line="560" w:lineRule="exact"/>
        <w:jc w:val="center"/>
        <w:rPr>
          <w:rFonts w:hint="eastAsia" w:ascii="方正小标宋简体" w:eastAsia="方正小标宋简体"/>
          <w:color w:val="000000"/>
          <w:sz w:val="36"/>
          <w:szCs w:val="36"/>
          <w:u w:val="none"/>
        </w:rPr>
      </w:pPr>
    </w:p>
    <w:p w14:paraId="3E42E78D">
      <w:pPr>
        <w:spacing w:line="560" w:lineRule="exact"/>
        <w:jc w:val="center"/>
        <w:rPr>
          <w:rFonts w:hint="eastAsia" w:ascii="方正小标宋简体" w:eastAsia="方正小标宋简体"/>
          <w:color w:val="000000"/>
          <w:sz w:val="36"/>
          <w:szCs w:val="36"/>
          <w:u w:val="none"/>
        </w:rPr>
      </w:pPr>
    </w:p>
    <w:p w14:paraId="4DCBC216">
      <w:pPr>
        <w:spacing w:line="560" w:lineRule="exact"/>
        <w:jc w:val="center"/>
        <w:rPr>
          <w:rFonts w:hint="eastAsia" w:ascii="方正小标宋简体" w:eastAsia="方正小标宋简体"/>
          <w:color w:val="000000"/>
          <w:sz w:val="36"/>
          <w:szCs w:val="36"/>
          <w:u w:val="none"/>
        </w:rPr>
      </w:pPr>
    </w:p>
    <w:p w14:paraId="559C69D8">
      <w:pPr>
        <w:spacing w:line="560" w:lineRule="exact"/>
        <w:jc w:val="center"/>
        <w:rPr>
          <w:rFonts w:hint="eastAsia" w:ascii="方正小标宋简体" w:eastAsia="方正小标宋简体"/>
          <w:color w:val="000000"/>
          <w:sz w:val="36"/>
          <w:szCs w:val="36"/>
          <w:u w:val="none"/>
        </w:rPr>
      </w:pPr>
    </w:p>
    <w:p w14:paraId="1427F835">
      <w:pPr>
        <w:spacing w:line="560" w:lineRule="exact"/>
        <w:jc w:val="center"/>
        <w:rPr>
          <w:rFonts w:hint="eastAsia" w:ascii="方正小标宋简体" w:eastAsia="方正小标宋简体"/>
          <w:color w:val="000000"/>
          <w:sz w:val="36"/>
          <w:szCs w:val="36"/>
          <w:u w:val="none"/>
        </w:rPr>
      </w:pPr>
    </w:p>
    <w:p w14:paraId="1DD4EE3B">
      <w:pPr>
        <w:spacing w:line="560" w:lineRule="exact"/>
        <w:jc w:val="center"/>
        <w:rPr>
          <w:rFonts w:hint="eastAsia" w:ascii="方正小标宋简体" w:eastAsia="方正小标宋简体"/>
          <w:color w:val="000000"/>
          <w:sz w:val="36"/>
          <w:szCs w:val="36"/>
          <w:u w:val="none"/>
        </w:rPr>
      </w:pPr>
    </w:p>
    <w:p w14:paraId="3BBCB2DB">
      <w:pPr>
        <w:spacing w:line="560" w:lineRule="exact"/>
        <w:jc w:val="center"/>
        <w:rPr>
          <w:rFonts w:hint="eastAsia" w:ascii="方正小标宋简体" w:eastAsia="方正小标宋简体"/>
          <w:color w:val="000000"/>
          <w:sz w:val="36"/>
          <w:szCs w:val="36"/>
          <w:u w:val="none"/>
        </w:rPr>
      </w:pPr>
    </w:p>
    <w:p w14:paraId="3455BC58">
      <w:pPr>
        <w:spacing w:line="560" w:lineRule="exact"/>
        <w:jc w:val="center"/>
        <w:rPr>
          <w:rFonts w:hint="eastAsia" w:ascii="方正小标宋简体" w:eastAsia="方正小标宋简体"/>
          <w:color w:val="000000"/>
          <w:sz w:val="36"/>
          <w:szCs w:val="36"/>
          <w:u w:val="none"/>
        </w:rPr>
      </w:pPr>
    </w:p>
    <w:p w14:paraId="38C4C0BB">
      <w:pPr>
        <w:spacing w:line="560" w:lineRule="exact"/>
        <w:jc w:val="center"/>
        <w:rPr>
          <w:rFonts w:hint="eastAsia" w:ascii="方正小标宋简体" w:eastAsia="方正小标宋简体"/>
          <w:color w:val="000000"/>
          <w:sz w:val="36"/>
          <w:szCs w:val="36"/>
          <w:u w:val="none"/>
        </w:rPr>
      </w:pPr>
    </w:p>
    <w:p w14:paraId="5ED50B80">
      <w:pPr>
        <w:spacing w:line="560" w:lineRule="exact"/>
        <w:jc w:val="center"/>
        <w:rPr>
          <w:rFonts w:hint="eastAsia" w:ascii="方正小标宋简体" w:eastAsia="方正小标宋简体"/>
          <w:color w:val="000000"/>
          <w:sz w:val="36"/>
          <w:szCs w:val="36"/>
          <w:u w:val="none"/>
        </w:rPr>
      </w:pPr>
    </w:p>
    <w:p w14:paraId="50075324">
      <w:pPr>
        <w:pStyle w:val="2"/>
        <w:rPr>
          <w:rFonts w:hint="eastAsia" w:ascii="方正小标宋简体" w:eastAsia="方正小标宋简体"/>
          <w:color w:val="000000"/>
          <w:sz w:val="36"/>
          <w:szCs w:val="36"/>
          <w:u w:val="none"/>
        </w:rPr>
      </w:pPr>
    </w:p>
    <w:p w14:paraId="24704ED9">
      <w:pPr>
        <w:pStyle w:val="2"/>
        <w:rPr>
          <w:rFonts w:hint="eastAsia" w:ascii="方正小标宋简体" w:eastAsia="方正小标宋简体"/>
          <w:color w:val="000000"/>
          <w:sz w:val="36"/>
          <w:szCs w:val="36"/>
          <w:u w:val="none"/>
        </w:rPr>
      </w:pPr>
    </w:p>
    <w:p w14:paraId="533E62BD">
      <w:pPr>
        <w:spacing w:line="560" w:lineRule="exact"/>
        <w:jc w:val="center"/>
        <w:rPr>
          <w:rFonts w:hint="eastAsia" w:ascii="方正小标宋简体" w:eastAsia="方正小标宋简体"/>
          <w:color w:val="000000"/>
          <w:sz w:val="36"/>
          <w:szCs w:val="36"/>
          <w:u w:val="none"/>
        </w:rPr>
      </w:pPr>
    </w:p>
    <w:p w14:paraId="2FC1B7DC">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w:t>
      </w:r>
      <w:r>
        <w:rPr>
          <w:rFonts w:hint="eastAsia" w:ascii="方正小标宋简体" w:eastAsia="方正小标宋简体"/>
          <w:color w:val="000000"/>
          <w:sz w:val="36"/>
          <w:szCs w:val="36"/>
          <w:u w:val="none"/>
          <w:lang w:val="en-US" w:eastAsia="zh-CN"/>
        </w:rPr>
        <w:t>5</w:t>
      </w:r>
      <w:r>
        <w:rPr>
          <w:rFonts w:hint="eastAsia" w:ascii="方正小标宋简体" w:eastAsia="方正小标宋简体"/>
          <w:color w:val="000000"/>
          <w:sz w:val="36"/>
          <w:szCs w:val="36"/>
          <w:u w:val="none"/>
          <w:lang w:eastAsia="zh-CN"/>
        </w:rPr>
        <w:t>年度</w:t>
      </w:r>
      <w:r>
        <w:rPr>
          <w:rFonts w:hint="eastAsia" w:ascii="方正小标宋简体" w:eastAsia="方正小标宋简体"/>
          <w:color w:val="000000"/>
          <w:sz w:val="36"/>
          <w:szCs w:val="36"/>
          <w:u w:val="none"/>
        </w:rPr>
        <w:t>单位预算情况说明</w:t>
      </w:r>
    </w:p>
    <w:p w14:paraId="3185DCE9">
      <w:pPr>
        <w:spacing w:line="360" w:lineRule="auto"/>
        <w:rPr>
          <w:rFonts w:hint="eastAsia" w:ascii="仿宋_GB2312" w:eastAsia="仿宋_GB2312"/>
          <w:color w:val="000000"/>
          <w:sz w:val="32"/>
          <w:szCs w:val="32"/>
          <w:u w:val="none"/>
        </w:rPr>
      </w:pPr>
    </w:p>
    <w:p w14:paraId="35D637B8">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685947B8">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74471465">
      <w:pPr>
        <w:snapToGrid w:val="0"/>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rPr>
        <w:t>根据中共北京市委机构编制委员会《关于市科委、中关村管委会所属事业单位改革有关事项的批复》（京编委〔2021〕66号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文件</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kern w:val="0"/>
          <w:sz w:val="32"/>
          <w:szCs w:val="32"/>
          <w:lang w:bidi="ar"/>
        </w:rPr>
        <w:t>整合北京科学仪器装</w:t>
      </w:r>
      <w:r>
        <w:rPr>
          <w:rFonts w:hint="eastAsia" w:ascii="仿宋_GB2312" w:hAnsi="仿宋_GB2312" w:eastAsia="仿宋_GB2312" w:cs="仿宋_GB2312"/>
          <w:color w:val="000000"/>
          <w:kern w:val="0"/>
          <w:sz w:val="32"/>
          <w:szCs w:val="32"/>
          <w:lang w:eastAsia="zh-CN" w:bidi="ar"/>
        </w:rPr>
        <w:t>备</w:t>
      </w:r>
      <w:r>
        <w:rPr>
          <w:rFonts w:hint="eastAsia" w:ascii="仿宋_GB2312" w:hAnsi="仿宋_GB2312" w:eastAsia="仿宋_GB2312" w:cs="仿宋_GB2312"/>
          <w:color w:val="000000"/>
          <w:kern w:val="0"/>
          <w:sz w:val="32"/>
          <w:szCs w:val="32"/>
          <w:lang w:bidi="ar"/>
        </w:rPr>
        <w:t>协作服务中心、北京科学技术开发交流中心</w:t>
      </w:r>
      <w:r>
        <w:rPr>
          <w:rFonts w:hint="eastAsia" w:ascii="仿宋_GB2312" w:hAnsi="仿宋_GB2312" w:eastAsia="仿宋_GB2312" w:cs="仿宋_GB2312"/>
          <w:color w:val="000000"/>
          <w:kern w:val="0"/>
          <w:sz w:val="32"/>
          <w:szCs w:val="32"/>
          <w:lang w:eastAsia="zh-CN" w:bidi="ar"/>
        </w:rPr>
        <w:t>，</w:t>
      </w:r>
      <w:r>
        <w:rPr>
          <w:rFonts w:hint="eastAsia" w:ascii="仿宋_GB2312" w:hAnsi="仿宋_GB2312" w:eastAsia="仿宋_GB2312" w:cs="仿宋_GB2312"/>
          <w:color w:val="000000"/>
          <w:kern w:val="0"/>
          <w:sz w:val="32"/>
          <w:szCs w:val="32"/>
          <w:lang w:bidi="ar"/>
        </w:rPr>
        <w:t>组建北京科技审评中心。</w:t>
      </w:r>
      <w:r>
        <w:rPr>
          <w:rFonts w:hint="eastAsia" w:ascii="仿宋_GB2312" w:hAnsi="仿宋_GB2312" w:eastAsia="仿宋_GB2312" w:cs="仿宋_GB2312"/>
          <w:sz w:val="32"/>
          <w:szCs w:val="32"/>
        </w:rPr>
        <w:t>主要职责：承担科研诚信、科技管理、科技资源配置政策研究、评审评估等事务性工作，承担科技管理平台建设运行、资产管理、科技监督等事务性工作。</w:t>
      </w:r>
    </w:p>
    <w:p w14:paraId="1EC66ABA">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6874A58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rPr>
        <w:t>北京科技审评中心设立7个部门：综合管理部、资产管理部、财务管理部、监督诚信部、科研项目评审一部、科研项目评审二部、科研项目评审三部。</w:t>
      </w:r>
    </w:p>
    <w:p w14:paraId="3F02642A">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14687395">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000000"/>
          <w:sz w:val="32"/>
          <w:szCs w:val="32"/>
          <w:u w:val="none"/>
          <w:lang w:eastAsia="zh-CN"/>
        </w:rPr>
        <w:t>北京科技审评中心</w:t>
      </w:r>
      <w:r>
        <w:rPr>
          <w:rFonts w:hint="eastAsia" w:ascii="仿宋_GB2312" w:eastAsia="仿宋_GB2312"/>
          <w:color w:val="000000"/>
          <w:sz w:val="32"/>
          <w:szCs w:val="32"/>
          <w:u w:val="none"/>
        </w:rPr>
        <w:t>事业编制</w:t>
      </w:r>
      <w:r>
        <w:rPr>
          <w:rFonts w:hint="eastAsia" w:ascii="仿宋_GB2312" w:eastAsia="仿宋_GB2312"/>
          <w:color w:val="000000"/>
          <w:sz w:val="32"/>
          <w:szCs w:val="32"/>
          <w:u w:val="none"/>
          <w:lang w:val="en-US" w:eastAsia="zh-CN"/>
        </w:rPr>
        <w:t>51</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val="en-US" w:eastAsia="zh-CN"/>
        </w:rPr>
        <w:t>44</w:t>
      </w:r>
      <w:r>
        <w:rPr>
          <w:rFonts w:hint="eastAsia" w:ascii="仿宋_GB2312" w:eastAsia="仿宋_GB2312"/>
          <w:color w:val="000000"/>
          <w:sz w:val="32"/>
          <w:szCs w:val="32"/>
          <w:u w:val="none"/>
        </w:rPr>
        <w:t>人</w:t>
      </w:r>
      <w:r>
        <w:rPr>
          <w:rFonts w:hint="eastAsia" w:ascii="仿宋_GB2312" w:eastAsia="仿宋_GB2312"/>
          <w:color w:val="000000"/>
          <w:sz w:val="32"/>
          <w:szCs w:val="32"/>
          <w:u w:val="none"/>
          <w:lang w:eastAsia="zh-CN"/>
        </w:rPr>
        <w:t>。</w:t>
      </w:r>
    </w:p>
    <w:p w14:paraId="2E7120E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sz w:val="32"/>
          <w:szCs w:val="32"/>
        </w:rPr>
        <w:t>离退休人员71人，其中：离休1人，退休70人。</w:t>
      </w:r>
    </w:p>
    <w:p w14:paraId="373FAD6C">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706047AF">
      <w:pPr>
        <w:spacing w:line="560" w:lineRule="exact"/>
        <w:ind w:firstLine="640" w:firstLineChars="200"/>
        <w:rPr>
          <w:rFonts w:hint="eastAsia" w:ascii="楷体_GB2312" w:eastAsia="楷体_GB2312"/>
          <w:color w:val="auto"/>
          <w:sz w:val="32"/>
          <w:szCs w:val="32"/>
          <w:u w:val="none"/>
        </w:rPr>
      </w:pPr>
      <w:r>
        <w:rPr>
          <w:rFonts w:hint="eastAsia" w:ascii="仿宋_GB2312" w:eastAsia="仿宋_GB2312" w:cs="Droid Sans"/>
          <w:color w:val="auto"/>
          <w:sz w:val="32"/>
          <w:szCs w:val="32"/>
          <w:u w:val="none"/>
          <w:lang w:val="en-US" w:eastAsia="zh-CN"/>
        </w:rPr>
        <w:t>2025年度收入预算2,963.54</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年年初预算数3</w:t>
      </w:r>
      <w:r>
        <w:rPr>
          <w:rFonts w:hint="eastAsia" w:ascii="仿宋_GB2312" w:eastAsia="仿宋_GB2312"/>
          <w:color w:val="auto"/>
          <w:sz w:val="32"/>
          <w:szCs w:val="32"/>
          <w:u w:val="none"/>
          <w:lang w:val="en-US" w:eastAsia="zh-CN"/>
        </w:rPr>
        <w:t>,912.79</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949.25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下降2</w:t>
      </w:r>
      <w:r>
        <w:rPr>
          <w:rFonts w:hint="eastAsia" w:ascii="仿宋_GB2312" w:eastAsia="仿宋_GB2312"/>
          <w:color w:val="auto"/>
          <w:sz w:val="32"/>
          <w:szCs w:val="32"/>
          <w:u w:val="none"/>
          <w:lang w:val="en-US" w:eastAsia="zh-CN"/>
        </w:rPr>
        <w:t>4.26</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sz w:val="32"/>
          <w:szCs w:val="32"/>
        </w:rPr>
        <w:t>根据工作</w:t>
      </w:r>
      <w:r>
        <w:rPr>
          <w:rFonts w:hint="eastAsia" w:ascii="仿宋_GB2312" w:eastAsia="仿宋_GB2312"/>
          <w:sz w:val="32"/>
          <w:szCs w:val="32"/>
          <w:lang w:val="en-US" w:eastAsia="zh-CN"/>
        </w:rPr>
        <w:t>安排</w:t>
      </w:r>
      <w:r>
        <w:rPr>
          <w:rFonts w:hint="eastAsia" w:ascii="仿宋_GB2312" w:eastAsia="仿宋_GB2312"/>
          <w:sz w:val="32"/>
          <w:szCs w:val="32"/>
        </w:rPr>
        <w:t>，</w:t>
      </w:r>
      <w:r>
        <w:rPr>
          <w:rFonts w:hint="eastAsia" w:ascii="仿宋_GB2312" w:eastAsia="仿宋_GB2312"/>
          <w:sz w:val="32"/>
          <w:szCs w:val="32"/>
          <w:lang w:val="en-US" w:eastAsia="zh-CN"/>
        </w:rPr>
        <w:t>减少技术创新服务体系方面的经费预算</w:t>
      </w:r>
      <w:r>
        <w:rPr>
          <w:rFonts w:hint="eastAsia" w:ascii="仿宋_GB2312" w:eastAsia="仿宋_GB2312"/>
          <w:sz w:val="32"/>
          <w:szCs w:val="32"/>
        </w:rPr>
        <w:t>。</w:t>
      </w:r>
    </w:p>
    <w:p w14:paraId="39AAB3D6">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楷体_GB2312" w:eastAsia="楷体_GB2312"/>
          <w:color w:val="auto"/>
          <w:sz w:val="32"/>
          <w:szCs w:val="32"/>
          <w:u w:val="none"/>
          <w:lang w:val="en-US" w:eastAsia="zh-CN"/>
        </w:rPr>
        <w:t>2,963.54</w:t>
      </w:r>
      <w:r>
        <w:rPr>
          <w:rFonts w:hint="eastAsia" w:ascii="楷体_GB2312" w:eastAsia="楷体_GB2312"/>
          <w:color w:val="auto"/>
          <w:sz w:val="32"/>
          <w:szCs w:val="32"/>
          <w:u w:val="none"/>
          <w:lang w:eastAsia="zh-CN"/>
        </w:rPr>
        <w:t>万元</w:t>
      </w:r>
    </w:p>
    <w:p w14:paraId="334ACB8E">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lang w:val="en-US" w:eastAsia="zh-CN"/>
        </w:rPr>
        <w:t>2,963.54</w:t>
      </w:r>
      <w:r>
        <w:rPr>
          <w:rFonts w:hint="eastAsia" w:ascii="仿宋_GB2312" w:eastAsia="仿宋_GB2312" w:cs="Droid Sans"/>
          <w:color w:val="auto"/>
          <w:sz w:val="32"/>
          <w:szCs w:val="32"/>
          <w:u w:val="none"/>
        </w:rPr>
        <w:t>万元。</w:t>
      </w:r>
    </w:p>
    <w:p w14:paraId="7401E7EA">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161B707">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05CDB3A3">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收入0</w:t>
      </w:r>
      <w:r>
        <w:rPr>
          <w:rFonts w:hint="eastAsia" w:ascii="楷体_GB2312" w:eastAsia="楷体_GB2312" w:cs="Droid Sans"/>
          <w:color w:val="auto"/>
          <w:sz w:val="32"/>
          <w:szCs w:val="32"/>
          <w:u w:val="none"/>
          <w:lang w:val="en-US" w:eastAsia="zh-CN"/>
        </w:rPr>
        <w:t>.00</w:t>
      </w:r>
      <w:r>
        <w:rPr>
          <w:rFonts w:hint="eastAsia" w:ascii="楷体_GB2312" w:eastAsia="楷体_GB2312" w:cs="Droid Sans"/>
          <w:color w:val="auto"/>
          <w:sz w:val="32"/>
          <w:szCs w:val="32"/>
          <w:u w:val="none"/>
          <w:lang w:eastAsia="zh-CN"/>
        </w:rPr>
        <w:t>万元</w:t>
      </w:r>
    </w:p>
    <w:p w14:paraId="350D3E09">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787017BB">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15B3CB4B">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66682FE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63298727">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2FC69FA1">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54EF7912">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0</w:t>
      </w:r>
      <w:r>
        <w:rPr>
          <w:rFonts w:hint="eastAsia" w:ascii="楷体_GB2312" w:eastAsia="楷体_GB2312" w:cs="Droid Sans"/>
          <w:color w:val="auto"/>
          <w:sz w:val="32"/>
          <w:szCs w:val="32"/>
          <w:u w:val="none"/>
          <w:lang w:val="en-US" w:eastAsia="zh-CN"/>
        </w:rPr>
        <w:t>.00</w:t>
      </w:r>
      <w:r>
        <w:rPr>
          <w:rFonts w:hint="eastAsia" w:ascii="楷体_GB2312" w:eastAsia="楷体_GB2312" w:cs="Droid Sans"/>
          <w:color w:val="auto"/>
          <w:sz w:val="32"/>
          <w:szCs w:val="32"/>
          <w:u w:val="none"/>
          <w:lang w:eastAsia="zh-CN"/>
        </w:rPr>
        <w:t>万元</w:t>
      </w:r>
    </w:p>
    <w:p w14:paraId="16B30172">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7F59EF28">
      <w:pPr>
        <w:pStyle w:val="3"/>
        <w:jc w:val="center"/>
        <w:rPr>
          <w:u w:val="none"/>
        </w:rPr>
      </w:pPr>
      <w:r>
        <w:drawing>
          <wp:inline distT="0" distB="0" distL="114300" distR="114300">
            <wp:extent cx="4404995" cy="2435860"/>
            <wp:effectExtent l="5080" t="4445" r="9525" b="1714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47CD969">
      <w:pPr>
        <w:pStyle w:val="3"/>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06C0B567">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4FF6D24E">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val="en-US" w:eastAsia="zh-CN"/>
        </w:rPr>
        <w:t>2,963.54</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olor w:val="auto"/>
          <w:sz w:val="32"/>
          <w:szCs w:val="32"/>
          <w:u w:val="none"/>
          <w:lang w:val="en-US" w:eastAsia="zh-CN"/>
        </w:rPr>
        <w:t>3,912.79</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949.25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下降2</w:t>
      </w:r>
      <w:r>
        <w:rPr>
          <w:rFonts w:hint="eastAsia" w:ascii="仿宋_GB2312" w:eastAsia="仿宋_GB2312"/>
          <w:color w:val="auto"/>
          <w:sz w:val="32"/>
          <w:szCs w:val="32"/>
          <w:u w:val="none"/>
          <w:lang w:val="en-US" w:eastAsia="zh-CN"/>
        </w:rPr>
        <w:t>4.26</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sz w:val="32"/>
          <w:szCs w:val="32"/>
        </w:rPr>
        <w:t>根据工作</w:t>
      </w:r>
      <w:r>
        <w:rPr>
          <w:rFonts w:hint="eastAsia" w:ascii="仿宋_GB2312" w:eastAsia="仿宋_GB2312"/>
          <w:sz w:val="32"/>
          <w:szCs w:val="32"/>
          <w:lang w:val="en-US" w:eastAsia="zh-CN"/>
        </w:rPr>
        <w:t>安排</w:t>
      </w:r>
      <w:r>
        <w:rPr>
          <w:rFonts w:hint="eastAsia" w:ascii="仿宋_GB2312" w:eastAsia="仿宋_GB2312"/>
          <w:sz w:val="32"/>
          <w:szCs w:val="32"/>
        </w:rPr>
        <w:t>，2024年度</w:t>
      </w:r>
      <w:r>
        <w:rPr>
          <w:rFonts w:hint="eastAsia" w:ascii="仿宋_GB2312" w:eastAsia="仿宋_GB2312"/>
          <w:sz w:val="32"/>
          <w:szCs w:val="32"/>
          <w:lang w:val="en-US" w:eastAsia="zh-CN"/>
        </w:rPr>
        <w:t>科技计划综合管理平台（一期）项目已完成，</w:t>
      </w:r>
      <w:r>
        <w:rPr>
          <w:rFonts w:hint="eastAsia" w:ascii="仿宋_GB2312" w:eastAsia="仿宋_GB2312"/>
          <w:sz w:val="32"/>
          <w:szCs w:val="32"/>
        </w:rPr>
        <w:t>2025年度不再安排</w:t>
      </w:r>
      <w:r>
        <w:rPr>
          <w:rFonts w:hint="eastAsia" w:ascii="仿宋_GB2312" w:eastAsia="仿宋_GB2312"/>
          <w:sz w:val="32"/>
          <w:szCs w:val="32"/>
          <w:lang w:val="en-US" w:eastAsia="zh-CN"/>
        </w:rPr>
        <w:t>相关</w:t>
      </w:r>
      <w:r>
        <w:rPr>
          <w:rFonts w:hint="eastAsia" w:ascii="仿宋_GB2312" w:eastAsia="仿宋_GB2312"/>
          <w:sz w:val="32"/>
          <w:szCs w:val="32"/>
        </w:rPr>
        <w:t>预算。</w:t>
      </w:r>
    </w:p>
    <w:p w14:paraId="6B09EA0E">
      <w:pPr>
        <w:spacing w:line="240" w:lineRule="auto"/>
        <w:ind w:firstLine="555"/>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2,134.12</w:t>
      </w:r>
      <w:r>
        <w:rPr>
          <w:rFonts w:hint="eastAsia" w:ascii="仿宋_GB2312" w:eastAsia="仿宋_GB2312"/>
          <w:color w:val="auto"/>
          <w:sz w:val="32"/>
          <w:szCs w:val="32"/>
          <w:highlight w:val="none"/>
          <w:u w:val="none"/>
        </w:rPr>
        <w:t>万元，占总支出预算</w:t>
      </w:r>
      <w:r>
        <w:rPr>
          <w:rFonts w:hint="eastAsia" w:ascii="仿宋_GB2312" w:eastAsia="仿宋_GB2312"/>
          <w:color w:val="auto"/>
          <w:sz w:val="32"/>
          <w:szCs w:val="32"/>
          <w:highlight w:val="none"/>
          <w:u w:val="none"/>
          <w:lang w:val="en-US" w:eastAsia="zh-CN"/>
        </w:rPr>
        <w:t>72.01</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olor w:val="auto"/>
          <w:sz w:val="32"/>
          <w:szCs w:val="32"/>
          <w:u w:val="none"/>
          <w:lang w:val="en-US" w:eastAsia="zh-CN"/>
        </w:rPr>
        <w:t>1,908.34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增加</w:t>
      </w:r>
      <w:r>
        <w:rPr>
          <w:rFonts w:hint="eastAsia" w:ascii="仿宋_GB2312" w:eastAsia="仿宋_GB2312"/>
          <w:color w:val="auto"/>
          <w:sz w:val="32"/>
          <w:szCs w:val="32"/>
          <w:u w:val="none"/>
          <w:lang w:val="en-US" w:eastAsia="zh-CN"/>
        </w:rPr>
        <w:t>225.78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增长</w:t>
      </w:r>
      <w:r>
        <w:rPr>
          <w:rFonts w:hint="eastAsia" w:ascii="仿宋_GB2312" w:eastAsia="仿宋_GB2312"/>
          <w:color w:val="auto"/>
          <w:sz w:val="32"/>
          <w:szCs w:val="32"/>
          <w:u w:val="none"/>
          <w:lang w:val="en-US" w:eastAsia="zh-CN"/>
        </w:rPr>
        <w:t>11.83</w:t>
      </w:r>
      <w:r>
        <w:rPr>
          <w:rFonts w:hint="eastAsia" w:ascii="仿宋_GB2312" w:eastAsia="仿宋_GB2312"/>
          <w:color w:val="auto"/>
          <w:sz w:val="32"/>
          <w:szCs w:val="32"/>
          <w:u w:val="none"/>
        </w:rPr>
        <w:t>%</w:t>
      </w:r>
      <w:r>
        <w:rPr>
          <w:rFonts w:hint="eastAsia" w:ascii="仿宋_GB2312" w:eastAsia="仿宋_GB2312"/>
          <w:sz w:val="32"/>
          <w:szCs w:val="32"/>
          <w:highlight w:val="none"/>
          <w:lang w:eastAsia="zh-CN"/>
        </w:rPr>
        <w:t>。</w:t>
      </w:r>
    </w:p>
    <w:p w14:paraId="57BBD671">
      <w:pPr>
        <w:spacing w:line="560" w:lineRule="exact"/>
        <w:ind w:firstLine="640" w:firstLineChars="20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val="en-US" w:eastAsia="zh-CN"/>
        </w:rPr>
        <w:t>829.42</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年年初预算数2</w:t>
      </w:r>
      <w:r>
        <w:rPr>
          <w:rFonts w:hint="eastAsia" w:ascii="仿宋_GB2312" w:eastAsia="仿宋_GB2312"/>
          <w:color w:val="auto"/>
          <w:sz w:val="32"/>
          <w:szCs w:val="32"/>
          <w:u w:val="none"/>
          <w:lang w:val="en-US" w:eastAsia="zh-CN"/>
        </w:rPr>
        <w:t>,004.45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减少1</w:t>
      </w:r>
      <w:r>
        <w:rPr>
          <w:rFonts w:hint="eastAsia" w:ascii="仿宋_GB2312" w:eastAsia="仿宋_GB2312"/>
          <w:color w:val="auto"/>
          <w:sz w:val="32"/>
          <w:szCs w:val="32"/>
          <w:u w:val="none"/>
          <w:lang w:val="en-US" w:eastAsia="zh-CN"/>
        </w:rPr>
        <w:t>,175.03</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58.62</w:t>
      </w:r>
      <w:r>
        <w:rPr>
          <w:rFonts w:hint="eastAsia" w:ascii="仿宋_GB2312" w:eastAsia="仿宋_GB2312"/>
          <w:color w:val="auto"/>
          <w:sz w:val="32"/>
          <w:szCs w:val="32"/>
          <w:u w:val="none"/>
        </w:rPr>
        <w:t>%。</w:t>
      </w:r>
    </w:p>
    <w:p w14:paraId="653C75BD">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其中：</w:t>
      </w:r>
    </w:p>
    <w:p w14:paraId="7BB6312E">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0C353EB4">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57390BE7">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07E484CD">
      <w:pPr>
        <w:pStyle w:val="3"/>
        <w:ind w:firstLine="642"/>
        <w:jc w:val="center"/>
        <w:rPr>
          <w:color w:val="auto"/>
          <w:u w:val="none"/>
        </w:rPr>
      </w:pPr>
      <w:r>
        <w:drawing>
          <wp:inline distT="0" distB="0" distL="114300" distR="114300">
            <wp:extent cx="4559300" cy="2657475"/>
            <wp:effectExtent l="4445" t="4445" r="8255" b="508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4E669D7">
      <w:pPr>
        <w:pStyle w:val="3"/>
        <w:ind w:firstLine="642"/>
        <w:jc w:val="center"/>
        <w:rPr>
          <w:rFonts w:hint="default" w:eastAsia="黑体"/>
          <w:color w:val="auto"/>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076B1C34">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年终结转结余资金0</w:t>
      </w:r>
      <w:r>
        <w:rPr>
          <w:rFonts w:hint="eastAsia" w:ascii="楷体_GB2312" w:hAnsi="楷体_GB2312" w:eastAsia="楷体_GB2312" w:cs="楷体_GB2312"/>
          <w:color w:val="000000"/>
          <w:sz w:val="32"/>
          <w:szCs w:val="32"/>
          <w:highlight w:val="none"/>
          <w:u w:val="none"/>
          <w:lang w:val="en-US" w:eastAsia="zh-CN"/>
        </w:rPr>
        <w:t>.00</w:t>
      </w:r>
      <w:r>
        <w:rPr>
          <w:rFonts w:hint="eastAsia" w:ascii="楷体_GB2312" w:hAnsi="楷体_GB2312" w:eastAsia="楷体_GB2312" w:cs="楷体_GB2312"/>
          <w:color w:val="000000"/>
          <w:sz w:val="32"/>
          <w:szCs w:val="32"/>
          <w:highlight w:val="none"/>
          <w:u w:val="none"/>
          <w:lang w:eastAsia="zh-CN"/>
        </w:rPr>
        <w:t>万元。</w:t>
      </w:r>
    </w:p>
    <w:p w14:paraId="37D0E547">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359DA09A">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6F82AB80">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北京科技审评中心</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rPr>
        <w:t>个</w:t>
      </w:r>
      <w:r>
        <w:rPr>
          <w:rFonts w:hint="eastAsia" w:ascii="仿宋_GB2312" w:eastAsia="仿宋_GB2312"/>
          <w:color w:val="auto"/>
          <w:sz w:val="32"/>
          <w:szCs w:val="32"/>
          <w:u w:val="none"/>
          <w:lang w:eastAsia="zh-CN"/>
        </w:rPr>
        <w:t>事业</w:t>
      </w:r>
      <w:r>
        <w:rPr>
          <w:rFonts w:hint="eastAsia" w:ascii="仿宋_GB2312" w:eastAsia="仿宋_GB2312"/>
          <w:color w:val="auto"/>
          <w:sz w:val="32"/>
          <w:szCs w:val="32"/>
          <w:u w:val="none"/>
        </w:rPr>
        <w:t>单位。</w:t>
      </w:r>
    </w:p>
    <w:p w14:paraId="0B9E77BC">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（二）财政拨款“三公”经费预算情况说明</w:t>
      </w:r>
    </w:p>
    <w:p w14:paraId="3F5D4CB5">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lang w:val="en-US" w:eastAsia="zh-CN"/>
        </w:rPr>
        <w:t>.16</w:t>
      </w:r>
      <w:r>
        <w:rPr>
          <w:rFonts w:hint="eastAsia" w:ascii="仿宋_GB2312" w:eastAsia="仿宋_GB2312"/>
          <w:color w:val="auto"/>
          <w:sz w:val="32"/>
          <w:szCs w:val="32"/>
          <w:u w:val="none"/>
        </w:rPr>
        <w:t>万元，</w:t>
      </w:r>
      <w:r>
        <w:rPr>
          <w:rFonts w:hint="eastAsia" w:ascii="仿宋_GB2312" w:hAnsi="Times New Roman" w:eastAsia="仿宋_GB2312"/>
          <w:sz w:val="32"/>
          <w:szCs w:val="32"/>
        </w:rPr>
        <w:t>与202</w:t>
      </w:r>
      <w:r>
        <w:rPr>
          <w:rFonts w:hint="eastAsia" w:ascii="仿宋_GB2312" w:eastAsia="仿宋_GB2312"/>
          <w:sz w:val="32"/>
          <w:szCs w:val="32"/>
          <w:lang w:val="en-US" w:eastAsia="zh-CN"/>
        </w:rPr>
        <w:t>4</w:t>
      </w:r>
      <w:r>
        <w:rPr>
          <w:rFonts w:hint="eastAsia" w:ascii="仿宋_GB2312" w:hAnsi="Times New Roman" w:eastAsia="仿宋_GB2312"/>
          <w:sz w:val="32"/>
          <w:szCs w:val="32"/>
        </w:rPr>
        <w:t>年“三公</w:t>
      </w:r>
      <w:r>
        <w:rPr>
          <w:rFonts w:hint="eastAsia" w:ascii="仿宋_GB2312" w:eastAsia="仿宋_GB2312"/>
          <w:sz w:val="32"/>
          <w:szCs w:val="32"/>
          <w:lang w:eastAsia="zh-CN"/>
        </w:rPr>
        <w:t>”</w:t>
      </w:r>
      <w:r>
        <w:rPr>
          <w:rFonts w:hint="eastAsia" w:ascii="仿宋_GB2312" w:hAnsi="Times New Roman" w:eastAsia="仿宋_GB2312"/>
          <w:sz w:val="32"/>
          <w:szCs w:val="32"/>
        </w:rPr>
        <w:t>经费财政拨款预算</w:t>
      </w:r>
      <w:r>
        <w:rPr>
          <w:rFonts w:hint="eastAsia" w:ascii="仿宋_GB2312" w:eastAsia="仿宋_GB2312"/>
          <w:sz w:val="32"/>
          <w:szCs w:val="32"/>
          <w:lang w:val="en-US" w:eastAsia="zh-CN"/>
        </w:rPr>
        <w:t>8.16万元</w:t>
      </w:r>
      <w:r>
        <w:rPr>
          <w:rFonts w:hint="eastAsia" w:ascii="仿宋_GB2312" w:eastAsia="仿宋_GB2312"/>
          <w:sz w:val="32"/>
          <w:szCs w:val="32"/>
        </w:rPr>
        <w:t>持平</w:t>
      </w:r>
      <w:r>
        <w:rPr>
          <w:rFonts w:hint="eastAsia" w:ascii="仿宋_GB2312" w:eastAsia="仿宋_GB2312"/>
          <w:color w:val="auto"/>
          <w:sz w:val="32"/>
          <w:szCs w:val="32"/>
          <w:u w:val="none"/>
        </w:rPr>
        <w:t>。其中：</w:t>
      </w:r>
    </w:p>
    <w:p w14:paraId="092DF2D6">
      <w:pPr>
        <w:spacing w:line="560" w:lineRule="exact"/>
        <w:ind w:firstLine="555"/>
        <w:rPr>
          <w:rFonts w:hint="eastAsia" w:ascii="仿宋_GB2312" w:hAnsi="Times New Roman" w:eastAsia="仿宋_GB2312"/>
          <w:sz w:val="32"/>
          <w:szCs w:val="32"/>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hAnsi="Times New Roman" w:eastAsia="仿宋_GB2312"/>
          <w:sz w:val="32"/>
          <w:szCs w:val="32"/>
        </w:rPr>
        <w:t>与202</w:t>
      </w:r>
      <w:r>
        <w:rPr>
          <w:rFonts w:hint="eastAsia" w:ascii="仿宋_GB2312" w:eastAsia="仿宋_GB2312"/>
          <w:sz w:val="32"/>
          <w:szCs w:val="32"/>
          <w:lang w:val="en-US" w:eastAsia="zh-CN"/>
        </w:rPr>
        <w:t>4</w:t>
      </w:r>
      <w:r>
        <w:rPr>
          <w:rFonts w:hint="eastAsia" w:ascii="仿宋_GB2312" w:hAnsi="Times New Roman" w:eastAsia="仿宋_GB2312"/>
          <w:sz w:val="32"/>
          <w:szCs w:val="32"/>
        </w:rPr>
        <w:t>年</w:t>
      </w:r>
      <w:r>
        <w:rPr>
          <w:rFonts w:hint="eastAsia" w:ascii="仿宋_GB2312" w:eastAsia="仿宋_GB2312"/>
          <w:sz w:val="32"/>
          <w:szCs w:val="32"/>
          <w:lang w:val="en-US" w:eastAsia="zh-CN"/>
        </w:rPr>
        <w:t>年初</w:t>
      </w:r>
      <w:r>
        <w:rPr>
          <w:rFonts w:hint="eastAsia" w:ascii="仿宋_GB2312" w:hAnsi="Times New Roman" w:eastAsia="仿宋_GB2312"/>
          <w:sz w:val="32"/>
          <w:szCs w:val="32"/>
        </w:rPr>
        <w:t>预算数</w:t>
      </w:r>
      <w:r>
        <w:rPr>
          <w:rFonts w:hint="eastAsia" w:ascii="仿宋_GB2312" w:eastAsia="仿宋_GB2312"/>
          <w:sz w:val="32"/>
          <w:szCs w:val="32"/>
          <w:lang w:val="en-US" w:eastAsia="zh-CN"/>
        </w:rPr>
        <w:t>0.00万元</w:t>
      </w:r>
      <w:r>
        <w:rPr>
          <w:rFonts w:hint="eastAsia" w:ascii="仿宋_GB2312" w:hAnsi="Times New Roman" w:eastAsia="仿宋_GB2312"/>
          <w:sz w:val="32"/>
          <w:szCs w:val="32"/>
        </w:rPr>
        <w:t>持平。</w:t>
      </w:r>
    </w:p>
    <w:p w14:paraId="2FBF5902">
      <w:pPr>
        <w:spacing w:line="560" w:lineRule="exact"/>
        <w:ind w:firstLine="555"/>
        <w:rPr>
          <w:rFonts w:hint="eastAsia" w:ascii="仿宋_GB2312" w:hAnsi="Times New Roman" w:eastAsia="仿宋_GB2312"/>
          <w:sz w:val="32"/>
          <w:szCs w:val="32"/>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.66</w:t>
      </w:r>
      <w:r>
        <w:rPr>
          <w:rFonts w:hint="eastAsia" w:ascii="仿宋_GB2312" w:eastAsia="仿宋_GB2312"/>
          <w:color w:val="auto"/>
          <w:sz w:val="32"/>
          <w:szCs w:val="32"/>
          <w:u w:val="none"/>
        </w:rPr>
        <w:t>万元，</w:t>
      </w:r>
      <w:r>
        <w:rPr>
          <w:rFonts w:hint="eastAsia" w:ascii="仿宋_GB2312" w:hAnsi="Times New Roman" w:eastAsia="仿宋_GB2312"/>
          <w:sz w:val="32"/>
          <w:szCs w:val="32"/>
        </w:rPr>
        <w:t>与202</w:t>
      </w:r>
      <w:r>
        <w:rPr>
          <w:rFonts w:hint="eastAsia" w:ascii="仿宋_GB2312" w:eastAsia="仿宋_GB2312"/>
          <w:sz w:val="32"/>
          <w:szCs w:val="32"/>
          <w:lang w:val="en-US" w:eastAsia="zh-CN"/>
        </w:rPr>
        <w:t>4</w:t>
      </w:r>
      <w:r>
        <w:rPr>
          <w:rFonts w:hint="eastAsia" w:ascii="仿宋_GB2312" w:hAnsi="Times New Roman" w:eastAsia="仿宋_GB2312"/>
          <w:sz w:val="32"/>
          <w:szCs w:val="32"/>
        </w:rPr>
        <w:t>年</w:t>
      </w:r>
      <w:r>
        <w:rPr>
          <w:rFonts w:hint="eastAsia" w:ascii="仿宋_GB2312" w:eastAsia="仿宋_GB2312"/>
          <w:sz w:val="32"/>
          <w:szCs w:val="32"/>
          <w:lang w:val="en-US" w:eastAsia="zh-CN"/>
        </w:rPr>
        <w:t>年初</w:t>
      </w:r>
      <w:r>
        <w:rPr>
          <w:rFonts w:hint="eastAsia" w:ascii="仿宋_GB2312" w:hAnsi="Times New Roman" w:eastAsia="仿宋_GB2312"/>
          <w:sz w:val="32"/>
          <w:szCs w:val="32"/>
        </w:rPr>
        <w:t>预算数</w:t>
      </w:r>
      <w:r>
        <w:rPr>
          <w:rFonts w:hint="eastAsia" w:ascii="仿宋_GB2312" w:eastAsia="仿宋_GB2312"/>
          <w:sz w:val="32"/>
          <w:szCs w:val="32"/>
          <w:lang w:val="en-US" w:eastAsia="zh-CN"/>
        </w:rPr>
        <w:t>0.66万元</w:t>
      </w:r>
      <w:r>
        <w:rPr>
          <w:rFonts w:hint="eastAsia" w:ascii="仿宋_GB2312" w:hAnsi="Times New Roman" w:eastAsia="仿宋_GB2312"/>
          <w:sz w:val="32"/>
          <w:szCs w:val="32"/>
        </w:rPr>
        <w:t>持平。</w:t>
      </w:r>
    </w:p>
    <w:p w14:paraId="58786AAA">
      <w:pPr>
        <w:spacing w:line="560" w:lineRule="exact"/>
        <w:ind w:firstLine="555" w:firstLineChars="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7</w:t>
      </w:r>
      <w:r>
        <w:rPr>
          <w:rFonts w:hint="eastAsia" w:ascii="仿宋_GB2312" w:eastAsia="仿宋_GB2312"/>
          <w:color w:val="auto"/>
          <w:sz w:val="32"/>
          <w:szCs w:val="32"/>
          <w:u w:val="none"/>
          <w:lang w:val="en-US" w:eastAsia="zh-CN"/>
        </w:rPr>
        <w:t>.50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hAnsi="Times New Roman" w:eastAsia="仿宋_GB2312"/>
          <w:sz w:val="32"/>
          <w:szCs w:val="32"/>
        </w:rPr>
        <w:t>与202</w:t>
      </w:r>
      <w:r>
        <w:rPr>
          <w:rFonts w:hint="eastAsia" w:ascii="仿宋_GB2312" w:eastAsia="仿宋_GB2312"/>
          <w:sz w:val="32"/>
          <w:szCs w:val="32"/>
          <w:lang w:val="en-US" w:eastAsia="zh-CN"/>
        </w:rPr>
        <w:t>4</w:t>
      </w:r>
      <w:r>
        <w:rPr>
          <w:rFonts w:hint="eastAsia" w:ascii="仿宋_GB2312" w:hAnsi="Times New Roman" w:eastAsia="仿宋_GB2312"/>
          <w:sz w:val="32"/>
          <w:szCs w:val="32"/>
        </w:rPr>
        <w:t>年</w:t>
      </w:r>
      <w:r>
        <w:rPr>
          <w:rFonts w:hint="eastAsia" w:ascii="仿宋_GB2312" w:eastAsia="仿宋_GB2312"/>
          <w:sz w:val="32"/>
          <w:szCs w:val="32"/>
          <w:lang w:val="en-US" w:eastAsia="zh-CN"/>
        </w:rPr>
        <w:t>年初</w:t>
      </w:r>
      <w:r>
        <w:rPr>
          <w:rFonts w:hint="eastAsia" w:ascii="仿宋_GB2312" w:hAnsi="Times New Roman" w:eastAsia="仿宋_GB2312"/>
          <w:sz w:val="32"/>
          <w:szCs w:val="32"/>
        </w:rPr>
        <w:t>预算数持平。</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7</w:t>
      </w:r>
      <w:r>
        <w:rPr>
          <w:rFonts w:hint="eastAsia" w:ascii="仿宋_GB2312" w:eastAsia="仿宋_GB2312"/>
          <w:color w:val="auto"/>
          <w:sz w:val="32"/>
          <w:szCs w:val="32"/>
          <w:u w:val="none"/>
          <w:lang w:val="en-US" w:eastAsia="zh-CN"/>
        </w:rPr>
        <w:t>.50</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.97</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.28</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.28</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.97</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年预算数</w:t>
      </w:r>
      <w:r>
        <w:rPr>
          <w:rFonts w:hint="eastAsia" w:ascii="仿宋_GB2312" w:hAnsi="Times New Roman" w:eastAsia="仿宋_GB2312"/>
          <w:sz w:val="32"/>
          <w:szCs w:val="32"/>
        </w:rPr>
        <w:t>与202</w:t>
      </w:r>
      <w:r>
        <w:rPr>
          <w:rFonts w:hint="eastAsia" w:ascii="仿宋_GB2312" w:eastAsia="仿宋_GB2312"/>
          <w:sz w:val="32"/>
          <w:szCs w:val="32"/>
          <w:lang w:val="en-US" w:eastAsia="zh-CN"/>
        </w:rPr>
        <w:t>4</w:t>
      </w:r>
      <w:r>
        <w:rPr>
          <w:rFonts w:hint="eastAsia" w:ascii="仿宋_GB2312" w:hAnsi="Times New Roman" w:eastAsia="仿宋_GB2312"/>
          <w:sz w:val="32"/>
          <w:szCs w:val="32"/>
        </w:rPr>
        <w:t>年</w:t>
      </w:r>
      <w:r>
        <w:rPr>
          <w:rFonts w:hint="eastAsia" w:ascii="仿宋_GB2312" w:eastAsia="仿宋_GB2312"/>
          <w:sz w:val="32"/>
          <w:szCs w:val="32"/>
          <w:lang w:val="en-US" w:eastAsia="zh-CN"/>
        </w:rPr>
        <w:t>年初</w:t>
      </w:r>
      <w:r>
        <w:rPr>
          <w:rFonts w:hint="eastAsia" w:ascii="仿宋_GB2312" w:hAnsi="Times New Roman" w:eastAsia="仿宋_GB2312"/>
          <w:sz w:val="32"/>
          <w:szCs w:val="32"/>
        </w:rPr>
        <w:t>预算数</w:t>
      </w:r>
      <w:r>
        <w:rPr>
          <w:rFonts w:hint="eastAsia" w:ascii="仿宋_GB2312" w:eastAsia="仿宋_GB2312"/>
          <w:sz w:val="32"/>
          <w:szCs w:val="32"/>
          <w:lang w:val="en-US" w:eastAsia="zh-CN"/>
        </w:rPr>
        <w:t>7.50万元</w:t>
      </w:r>
      <w:r>
        <w:rPr>
          <w:rFonts w:hint="eastAsia" w:ascii="仿宋_GB2312" w:hAnsi="Times New Roman" w:eastAsia="仿宋_GB2312"/>
          <w:sz w:val="32"/>
          <w:szCs w:val="32"/>
        </w:rPr>
        <w:t>持平。</w:t>
      </w:r>
    </w:p>
    <w:p w14:paraId="6AAB0AF6">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54FF93E1">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58A9DFA0">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年北京科技审评中心</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val="en-US" w:eastAsia="zh-CN"/>
        </w:rPr>
        <w:t>495.44</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val="en-US" w:eastAsia="zh-CN"/>
        </w:rPr>
        <w:t>23.16</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472.28</w:t>
      </w:r>
      <w:r>
        <w:rPr>
          <w:rFonts w:hint="eastAsia" w:ascii="仿宋_GB2312" w:eastAsia="仿宋_GB2312"/>
          <w:color w:val="auto"/>
          <w:sz w:val="32"/>
          <w:szCs w:val="32"/>
          <w:u w:val="none"/>
        </w:rPr>
        <w:t>万元。</w:t>
      </w:r>
    </w:p>
    <w:p w14:paraId="629104F9">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695B8233">
      <w:pPr>
        <w:spacing w:line="560" w:lineRule="exact"/>
        <w:ind w:firstLine="640" w:firstLineChars="200"/>
        <w:rPr>
          <w:rFonts w:ascii="仿宋_GB2312" w:eastAsia="仿宋_GB2312"/>
          <w:sz w:val="32"/>
          <w:szCs w:val="32"/>
        </w:rPr>
      </w:pPr>
      <w:r>
        <w:rPr>
          <w:rFonts w:ascii="仿宋_GB2312" w:hAnsi="宋体" w:eastAsia="仿宋_GB2312" w:cs="宋体"/>
          <w:kern w:val="0"/>
          <w:sz w:val="32"/>
          <w:szCs w:val="32"/>
        </w:rPr>
        <w:t>本单位不属于政府购买服务购买主体</w:t>
      </w:r>
      <w:r>
        <w:rPr>
          <w:rFonts w:hint="eastAsia" w:ascii="仿宋_GB2312" w:hAnsi="宋体" w:eastAsia="仿宋_GB2312" w:cs="宋体"/>
          <w:kern w:val="0"/>
          <w:sz w:val="32"/>
          <w:szCs w:val="32"/>
        </w:rPr>
        <w:t>。</w:t>
      </w:r>
    </w:p>
    <w:p w14:paraId="1379540A">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172EC00C">
      <w:pPr>
        <w:spacing w:line="560" w:lineRule="exact"/>
        <w:ind w:firstLine="600"/>
        <w:rPr>
          <w:rFonts w:hint="eastAsia" w:ascii="仿宋_GB2312" w:eastAsia="仿宋_GB2312"/>
          <w:sz w:val="32"/>
          <w:szCs w:val="32"/>
          <w:lang w:eastAsia="zh-CN"/>
        </w:rPr>
      </w:pPr>
      <w:r>
        <w:rPr>
          <w:rFonts w:hint="eastAsia" w:ascii="仿宋_GB2312" w:eastAsia="仿宋_GB2312"/>
          <w:sz w:val="32"/>
          <w:szCs w:val="32"/>
        </w:rPr>
        <w:t>本</w:t>
      </w:r>
      <w:r>
        <w:rPr>
          <w:rFonts w:ascii="仿宋_GB2312" w:eastAsia="仿宋_GB2312"/>
          <w:sz w:val="32"/>
          <w:szCs w:val="32"/>
        </w:rPr>
        <w:t>单位不在机关运行经费统计范围之内</w:t>
      </w:r>
      <w:r>
        <w:rPr>
          <w:rFonts w:hint="eastAsia" w:ascii="仿宋_GB2312" w:eastAsia="仿宋_GB2312"/>
          <w:sz w:val="32"/>
          <w:szCs w:val="32"/>
          <w:lang w:eastAsia="zh-CN"/>
        </w:rPr>
        <w:t>。</w:t>
      </w:r>
    </w:p>
    <w:p w14:paraId="6E510237">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7F819521">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北京科技审评中心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val="en-US" w:eastAsia="zh-CN"/>
        </w:rPr>
        <w:t>829.42</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100.00</w:t>
      </w:r>
      <w:r>
        <w:rPr>
          <w:rFonts w:hint="eastAsia" w:ascii="仿宋_GB2312" w:eastAsia="仿宋_GB2312"/>
          <w:color w:val="auto"/>
          <w:sz w:val="32"/>
          <w:szCs w:val="32"/>
          <w:u w:val="none"/>
        </w:rPr>
        <w:t>%。</w:t>
      </w:r>
    </w:p>
    <w:p w14:paraId="5134B3C2">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14:paraId="17F474AE">
      <w:pPr>
        <w:spacing w:line="560" w:lineRule="exact"/>
        <w:ind w:firstLine="640" w:firstLineChars="200"/>
        <w:rPr>
          <w:rFonts w:hint="eastAsia" w:ascii="仿宋_GB2312" w:hAnsi="Times New Roman" w:eastAsia="仿宋_GB2312"/>
          <w:sz w:val="32"/>
          <w:szCs w:val="32"/>
        </w:rPr>
      </w:pPr>
      <w:r>
        <w:rPr>
          <w:rFonts w:hint="eastAsia" w:ascii="仿宋_GB2312" w:eastAsia="仿宋_GB2312"/>
          <w:sz w:val="32"/>
          <w:szCs w:val="32"/>
        </w:rPr>
        <w:t>本单位202</w:t>
      </w:r>
      <w:r>
        <w:rPr>
          <w:rFonts w:hint="eastAsia" w:ascii="仿宋_GB2312" w:eastAsia="仿宋_GB2312"/>
          <w:sz w:val="32"/>
          <w:szCs w:val="32"/>
          <w:lang w:val="en-US" w:eastAsia="zh-CN"/>
        </w:rPr>
        <w:t>5</w:t>
      </w:r>
      <w:r>
        <w:rPr>
          <w:rFonts w:hint="eastAsia" w:ascii="仿宋_GB2312" w:eastAsia="仿宋_GB2312"/>
          <w:sz w:val="32"/>
          <w:szCs w:val="32"/>
        </w:rPr>
        <w:t>年无重点行政事业性收费。</w:t>
      </w:r>
    </w:p>
    <w:p w14:paraId="0667227A">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02A1CFBE">
      <w:pPr>
        <w:spacing w:line="560" w:lineRule="exact"/>
        <w:ind w:firstLine="640" w:firstLineChars="200"/>
        <w:rPr>
          <w:rFonts w:hint="eastAsia" w:ascii="仿宋_GB2312" w:eastAsia="仿宋_GB2312"/>
          <w:color w:val="000000"/>
          <w:sz w:val="32"/>
          <w:szCs w:val="32"/>
          <w:u w:val="none"/>
          <w:lang w:val="en-US"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58FB9776">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14:paraId="068BD773">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rPr>
        <w:t>202</w:t>
      </w:r>
      <w:r>
        <w:rPr>
          <w:rFonts w:hint="eastAsia" w:ascii="仿宋_GB2312" w:eastAsia="仿宋_GB2312"/>
          <w:color w:val="000000"/>
          <w:sz w:val="32"/>
          <w:szCs w:val="32"/>
          <w:highlight w:val="none"/>
          <w:u w:val="none"/>
          <w:lang w:val="en-US" w:eastAsia="zh-CN"/>
        </w:rPr>
        <w:t>4</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eastAsia="zh-CN"/>
        </w:rPr>
        <w:t>北京科技审评中心</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3</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45.42</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2025年预算安排中，购置单位价值50万元以上的设备0台（套），共计0.00万元。</w:t>
      </w:r>
    </w:p>
    <w:p w14:paraId="48C48261">
      <w:pPr>
        <w:numPr>
          <w:ilvl w:val="0"/>
          <w:numId w:val="3"/>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14:paraId="5293FDE8">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1249B25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1923007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w:t>
      </w:r>
      <w:r>
        <w:rPr>
          <w:rFonts w:hint="eastAsia" w:ascii="仿宋_GB2312" w:eastAsia="仿宋_GB2312"/>
          <w:color w:val="000000"/>
          <w:sz w:val="32"/>
          <w:szCs w:val="32"/>
          <w:u w:val="none"/>
          <w:lang w:val="en-US" w:eastAsia="zh-CN"/>
        </w:rPr>
        <w:t>单位</w:t>
      </w:r>
      <w:r>
        <w:rPr>
          <w:rFonts w:hint="eastAsia" w:ascii="仿宋_GB2312" w:eastAsia="仿宋_GB2312"/>
          <w:color w:val="000000"/>
          <w:sz w:val="32"/>
          <w:szCs w:val="32"/>
          <w:u w:val="none"/>
        </w:rPr>
        <w:t>当年部门预算</w:t>
      </w:r>
      <w:r>
        <w:rPr>
          <w:rFonts w:hint="eastAsia" w:ascii="仿宋_GB2312" w:eastAsia="仿宋_GB2312"/>
          <w:color w:val="000000"/>
          <w:sz w:val="32"/>
          <w:szCs w:val="32"/>
          <w:u w:val="none"/>
          <w:lang w:eastAsia="zh-CN"/>
        </w:rPr>
        <w:t>中财政拨款</w:t>
      </w:r>
      <w:r>
        <w:rPr>
          <w:rFonts w:hint="eastAsia" w:ascii="仿宋_GB2312" w:eastAsia="仿宋_GB2312"/>
          <w:color w:val="000000"/>
          <w:sz w:val="32"/>
          <w:szCs w:val="32"/>
          <w:u w:val="none"/>
        </w:rPr>
        <w:t>安排的因公出国（境）费用、公务接待费、公务用车购置和运行维护费预算数。</w:t>
      </w:r>
    </w:p>
    <w:p w14:paraId="1634F9C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CA8A85F">
      <w:pPr>
        <w:spacing w:line="560" w:lineRule="exact"/>
        <w:jc w:val="center"/>
        <w:rPr>
          <w:rFonts w:hint="eastAsia" w:ascii="方正小标宋简体" w:eastAsia="方正小标宋简体"/>
          <w:color w:val="000000"/>
          <w:sz w:val="36"/>
          <w:szCs w:val="36"/>
          <w:u w:val="none"/>
        </w:rPr>
      </w:pPr>
    </w:p>
    <w:p w14:paraId="6FC15548">
      <w:pPr>
        <w:pStyle w:val="2"/>
        <w:rPr>
          <w:rFonts w:hint="eastAsia" w:ascii="方正小标宋简体" w:eastAsia="方正小标宋简体"/>
          <w:color w:val="000000"/>
          <w:sz w:val="36"/>
          <w:szCs w:val="36"/>
          <w:u w:val="none"/>
        </w:rPr>
      </w:pPr>
    </w:p>
    <w:p w14:paraId="598C112E">
      <w:pPr>
        <w:pStyle w:val="2"/>
        <w:rPr>
          <w:rFonts w:hint="eastAsia" w:ascii="方正小标宋简体" w:eastAsia="方正小标宋简体"/>
          <w:color w:val="000000"/>
          <w:sz w:val="36"/>
          <w:szCs w:val="36"/>
          <w:u w:val="none"/>
        </w:rPr>
      </w:pPr>
    </w:p>
    <w:p w14:paraId="2FB49CC1">
      <w:pPr>
        <w:pStyle w:val="2"/>
        <w:rPr>
          <w:rFonts w:hint="eastAsia" w:ascii="方正小标宋简体" w:eastAsia="方正小标宋简体"/>
          <w:color w:val="000000"/>
          <w:sz w:val="36"/>
          <w:szCs w:val="36"/>
          <w:u w:val="none"/>
        </w:rPr>
      </w:pPr>
    </w:p>
    <w:p w14:paraId="4C7B379E">
      <w:pPr>
        <w:pStyle w:val="2"/>
        <w:rPr>
          <w:rFonts w:hint="eastAsia" w:ascii="方正小标宋简体" w:eastAsia="方正小标宋简体"/>
          <w:color w:val="000000"/>
          <w:sz w:val="36"/>
          <w:szCs w:val="36"/>
          <w:u w:val="none"/>
        </w:rPr>
      </w:pPr>
    </w:p>
    <w:p w14:paraId="1933634A">
      <w:pPr>
        <w:pStyle w:val="2"/>
        <w:rPr>
          <w:rFonts w:hint="eastAsia" w:ascii="方正小标宋简体" w:eastAsia="方正小标宋简体"/>
          <w:color w:val="000000"/>
          <w:sz w:val="36"/>
          <w:szCs w:val="36"/>
          <w:u w:val="none"/>
        </w:rPr>
      </w:pPr>
    </w:p>
    <w:p w14:paraId="1F5FD3EB">
      <w:pPr>
        <w:pStyle w:val="2"/>
        <w:rPr>
          <w:rFonts w:hint="eastAsia" w:ascii="方正小标宋简体" w:eastAsia="方正小标宋简体"/>
          <w:color w:val="000000"/>
          <w:sz w:val="36"/>
          <w:szCs w:val="36"/>
          <w:u w:val="none"/>
        </w:rPr>
      </w:pPr>
    </w:p>
    <w:p w14:paraId="38F9B271">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w:t>
      </w:r>
      <w:r>
        <w:rPr>
          <w:rFonts w:hint="eastAsia" w:ascii="方正小标宋简体" w:eastAsia="方正小标宋简体"/>
          <w:color w:val="000000"/>
          <w:sz w:val="36"/>
          <w:szCs w:val="36"/>
          <w:u w:val="none"/>
          <w:lang w:val="en-US" w:eastAsia="zh-CN"/>
        </w:rPr>
        <w:t>5</w:t>
      </w:r>
      <w:r>
        <w:rPr>
          <w:rFonts w:hint="eastAsia" w:ascii="方正小标宋简体" w:eastAsia="方正小标宋简体"/>
          <w:color w:val="000000"/>
          <w:sz w:val="36"/>
          <w:szCs w:val="36"/>
          <w:u w:val="none"/>
          <w:lang w:eastAsia="zh-CN"/>
        </w:rPr>
        <w:t>年度</w:t>
      </w:r>
      <w:r>
        <w:rPr>
          <w:rFonts w:hint="eastAsia" w:ascii="方正小标宋简体" w:eastAsia="方正小标宋简体"/>
          <w:color w:val="000000"/>
          <w:sz w:val="36"/>
          <w:szCs w:val="36"/>
          <w:u w:val="none"/>
        </w:rPr>
        <w:t>单位预算报表</w:t>
      </w:r>
    </w:p>
    <w:p w14:paraId="6A9F33BB">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北京科技审评中心202</w:t>
      </w:r>
      <w:r>
        <w:rPr>
          <w:rFonts w:hint="eastAsia" w:ascii="仿宋_GB2312" w:eastAsia="仿宋_GB2312"/>
          <w:color w:val="000000"/>
          <w:sz w:val="32"/>
          <w:szCs w:val="32"/>
          <w:u w:val="none"/>
          <w:lang w:val="en-US" w:eastAsia="zh-CN"/>
        </w:rPr>
        <w:t>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22856A78">
      <w:pPr>
        <w:spacing w:line="560" w:lineRule="exact"/>
        <w:rPr>
          <w:rFonts w:hint="eastAsia" w:ascii="仿宋_GB2312" w:eastAsia="仿宋_GB2312"/>
          <w:color w:val="000000"/>
          <w:sz w:val="32"/>
          <w:szCs w:val="32"/>
          <w:u w:val="none"/>
        </w:rPr>
      </w:pPr>
    </w:p>
    <w:p w14:paraId="3F0042A8">
      <w:pPr>
        <w:rPr>
          <w:rFonts w:hint="eastAsia" w:ascii="仿宋_GB2312" w:eastAsia="仿宋_GB2312"/>
          <w:sz w:val="32"/>
          <w:szCs w:val="32"/>
          <w:u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85FB1">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DDEAE2">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8Kz6jdAQAAvgMAAA4AAAAAAAAA&#10;AQAgAAAAHgEAAGRycy9lMm9Eb2MueG1sUEsFBgAAAAAGAAYAWQEAAG0FAAAAAA==&#10;">
              <v:fill on="f" focussize="0,0"/>
              <v:stroke on="f"/>
              <v:imagedata o:title=""/>
              <o:lock v:ext="edit" aspectratio="f"/>
              <v:textbox inset="0mm,0mm,0mm,0mm" style="mso-fit-shape-to-text:t;">
                <w:txbxContent>
                  <w:p w14:paraId="5BDDEAE2">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4BA7EA75">
    <w:pPr>
      <w:pStyle w:val="7"/>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436C2F89"/>
    <w:multiLevelType w:val="singleLevel"/>
    <w:tmpl w:val="436C2F89"/>
    <w:lvl w:ilvl="0" w:tentative="0">
      <w:start w:val="2"/>
      <w:numFmt w:val="chineseCounting"/>
      <w:suff w:val="nothing"/>
      <w:lvlText w:val="（%1）"/>
      <w:lvlJc w:val="left"/>
      <w:rPr>
        <w:rFonts w:hint="eastAsia"/>
      </w:rPr>
    </w:lvl>
  </w:abstractNum>
  <w:abstractNum w:abstractNumId="2">
    <w:nsid w:val="7A764CB8"/>
    <w:multiLevelType w:val="singleLevel"/>
    <w:tmpl w:val="7A764CB8"/>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mYmUzODEzMzliZTZiNDk0M2Y4ODVkNjY2ZjBkODYifQ=="/>
  </w:docVars>
  <w:rsids>
    <w:rsidRoot w:val="00797F79"/>
    <w:rsid w:val="0032325C"/>
    <w:rsid w:val="006F3CD8"/>
    <w:rsid w:val="008A2E8D"/>
    <w:rsid w:val="009F505C"/>
    <w:rsid w:val="011F11B0"/>
    <w:rsid w:val="01DE318D"/>
    <w:rsid w:val="01FC6CC8"/>
    <w:rsid w:val="035B489E"/>
    <w:rsid w:val="03E876C3"/>
    <w:rsid w:val="072D1D54"/>
    <w:rsid w:val="0B176700"/>
    <w:rsid w:val="0C4D7C21"/>
    <w:rsid w:val="0C534A24"/>
    <w:rsid w:val="0D5D3E94"/>
    <w:rsid w:val="0D663311"/>
    <w:rsid w:val="0D8620B1"/>
    <w:rsid w:val="0ED853EF"/>
    <w:rsid w:val="0EFFF08B"/>
    <w:rsid w:val="10EF7605"/>
    <w:rsid w:val="1288615F"/>
    <w:rsid w:val="12E62873"/>
    <w:rsid w:val="134709B7"/>
    <w:rsid w:val="1556FFE7"/>
    <w:rsid w:val="18A35159"/>
    <w:rsid w:val="1CDC33FC"/>
    <w:rsid w:val="1E2F585A"/>
    <w:rsid w:val="1FB9016F"/>
    <w:rsid w:val="1FE6D21C"/>
    <w:rsid w:val="21276BC4"/>
    <w:rsid w:val="23292438"/>
    <w:rsid w:val="23735A5C"/>
    <w:rsid w:val="23E879C2"/>
    <w:rsid w:val="276B56D3"/>
    <w:rsid w:val="2BA60F2A"/>
    <w:rsid w:val="2C6521DF"/>
    <w:rsid w:val="2F7EA178"/>
    <w:rsid w:val="2FF31CCC"/>
    <w:rsid w:val="33573387"/>
    <w:rsid w:val="33BF5DDC"/>
    <w:rsid w:val="34A01C93"/>
    <w:rsid w:val="367714D5"/>
    <w:rsid w:val="37A460D8"/>
    <w:rsid w:val="37BFBFEE"/>
    <w:rsid w:val="37FD2E23"/>
    <w:rsid w:val="38B820AB"/>
    <w:rsid w:val="39530200"/>
    <w:rsid w:val="398048E2"/>
    <w:rsid w:val="3AEE7FDD"/>
    <w:rsid w:val="3B1D5808"/>
    <w:rsid w:val="3BD64001"/>
    <w:rsid w:val="3BFE8EC0"/>
    <w:rsid w:val="3D3B750B"/>
    <w:rsid w:val="3DFB85D7"/>
    <w:rsid w:val="3DFFFEEB"/>
    <w:rsid w:val="3E578A4D"/>
    <w:rsid w:val="3E7746F2"/>
    <w:rsid w:val="3EAFE38B"/>
    <w:rsid w:val="3EFB023F"/>
    <w:rsid w:val="3F5B7215"/>
    <w:rsid w:val="3F6FC1FB"/>
    <w:rsid w:val="3F730350"/>
    <w:rsid w:val="3F76647A"/>
    <w:rsid w:val="3FBA30DB"/>
    <w:rsid w:val="3FBFE16E"/>
    <w:rsid w:val="3FF7F9C0"/>
    <w:rsid w:val="3FFBC816"/>
    <w:rsid w:val="40D06340"/>
    <w:rsid w:val="4110665C"/>
    <w:rsid w:val="444923F1"/>
    <w:rsid w:val="456F1566"/>
    <w:rsid w:val="46F355B1"/>
    <w:rsid w:val="48D44964"/>
    <w:rsid w:val="490D26E8"/>
    <w:rsid w:val="4A713D5C"/>
    <w:rsid w:val="4CD68066"/>
    <w:rsid w:val="4E067654"/>
    <w:rsid w:val="4E67CE40"/>
    <w:rsid w:val="4F1F055D"/>
    <w:rsid w:val="4F6D150F"/>
    <w:rsid w:val="4F6E7BD5"/>
    <w:rsid w:val="4FEE37C7"/>
    <w:rsid w:val="509800C1"/>
    <w:rsid w:val="517E78AA"/>
    <w:rsid w:val="53DF3E7F"/>
    <w:rsid w:val="53FC4763"/>
    <w:rsid w:val="545DF6FA"/>
    <w:rsid w:val="553E578E"/>
    <w:rsid w:val="55DE48F6"/>
    <w:rsid w:val="57ADBE82"/>
    <w:rsid w:val="57E332DD"/>
    <w:rsid w:val="57E9CD93"/>
    <w:rsid w:val="57EB425A"/>
    <w:rsid w:val="59D7A30C"/>
    <w:rsid w:val="5BEE7D82"/>
    <w:rsid w:val="5BFC36A8"/>
    <w:rsid w:val="5CA52215"/>
    <w:rsid w:val="5F5F35ED"/>
    <w:rsid w:val="5FB4B9F0"/>
    <w:rsid w:val="5FD532B6"/>
    <w:rsid w:val="5FE95128"/>
    <w:rsid w:val="5FFFD6B5"/>
    <w:rsid w:val="635D04D9"/>
    <w:rsid w:val="64393E88"/>
    <w:rsid w:val="654F6D16"/>
    <w:rsid w:val="66C51A03"/>
    <w:rsid w:val="66FC49B1"/>
    <w:rsid w:val="67BF653D"/>
    <w:rsid w:val="67F52254"/>
    <w:rsid w:val="67FBD21B"/>
    <w:rsid w:val="68574BEE"/>
    <w:rsid w:val="69CDDFC6"/>
    <w:rsid w:val="6AFBD4E9"/>
    <w:rsid w:val="6BFE087F"/>
    <w:rsid w:val="6BFF83C2"/>
    <w:rsid w:val="6C5F4E7D"/>
    <w:rsid w:val="6D3F2E98"/>
    <w:rsid w:val="6DFE07CC"/>
    <w:rsid w:val="6DFFB2B9"/>
    <w:rsid w:val="6E0570BF"/>
    <w:rsid w:val="6ECB6C3E"/>
    <w:rsid w:val="6F3A9571"/>
    <w:rsid w:val="6FCDA027"/>
    <w:rsid w:val="6FDC8289"/>
    <w:rsid w:val="710E4F59"/>
    <w:rsid w:val="71B2049D"/>
    <w:rsid w:val="71FF8133"/>
    <w:rsid w:val="727C4B4E"/>
    <w:rsid w:val="729DB731"/>
    <w:rsid w:val="732F9AB6"/>
    <w:rsid w:val="73A5D6F8"/>
    <w:rsid w:val="74FD455A"/>
    <w:rsid w:val="75362CC5"/>
    <w:rsid w:val="75D907AF"/>
    <w:rsid w:val="763ED7FC"/>
    <w:rsid w:val="767FBCC8"/>
    <w:rsid w:val="76FE24ED"/>
    <w:rsid w:val="77773C62"/>
    <w:rsid w:val="777F4630"/>
    <w:rsid w:val="77A0515A"/>
    <w:rsid w:val="77DF7EB6"/>
    <w:rsid w:val="77FABEEF"/>
    <w:rsid w:val="7870246C"/>
    <w:rsid w:val="78F52093"/>
    <w:rsid w:val="797F48DA"/>
    <w:rsid w:val="79CFCA19"/>
    <w:rsid w:val="7B116B6D"/>
    <w:rsid w:val="7B2E7344"/>
    <w:rsid w:val="7B503CA9"/>
    <w:rsid w:val="7B5B4466"/>
    <w:rsid w:val="7B8DB0E0"/>
    <w:rsid w:val="7BD7C5D4"/>
    <w:rsid w:val="7BDE2E6D"/>
    <w:rsid w:val="7BFAEA32"/>
    <w:rsid w:val="7C9BB5BA"/>
    <w:rsid w:val="7D629DCE"/>
    <w:rsid w:val="7D7E1C9B"/>
    <w:rsid w:val="7DAF9F6F"/>
    <w:rsid w:val="7DDF7761"/>
    <w:rsid w:val="7DFBA975"/>
    <w:rsid w:val="7E7F7957"/>
    <w:rsid w:val="7EBE6155"/>
    <w:rsid w:val="7F3BE6B0"/>
    <w:rsid w:val="7F3F94D5"/>
    <w:rsid w:val="7F3FC408"/>
    <w:rsid w:val="7F7AD461"/>
    <w:rsid w:val="7F9BB94C"/>
    <w:rsid w:val="7FB5D6F6"/>
    <w:rsid w:val="7FCD88E5"/>
    <w:rsid w:val="7FF59EC3"/>
    <w:rsid w:val="7FF9E7AB"/>
    <w:rsid w:val="7FFA4ACA"/>
    <w:rsid w:val="7FFFFE22"/>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2"/>
    <w:basedOn w:val="1"/>
    <w:next w:val="1"/>
    <w:autoRedefine/>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0">
    <w:name w:val="Default Paragraph Font"/>
    <w:autoRedefine/>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pPr>
  </w:style>
  <w:style w:type="paragraph" w:styleId="4">
    <w:name w:val="annotation text"/>
    <w:basedOn w:val="1"/>
    <w:qFormat/>
    <w:uiPriority w:val="0"/>
    <w:pPr>
      <w:jc w:val="left"/>
    </w:pPr>
  </w:style>
  <w:style w:type="paragraph" w:styleId="5">
    <w:name w:val="Date"/>
    <w:basedOn w:val="1"/>
    <w:next w:val="1"/>
    <w:autoRedefine/>
    <w:qFormat/>
    <w:uiPriority w:val="0"/>
    <w:rPr>
      <w:rFonts w:eastAsia="楷体_GB2312" w:cs="Droid Sans"/>
      <w:sz w:val="32"/>
      <w:szCs w:val="20"/>
      <w:lang w:bidi="ar-SA"/>
    </w:rPr>
  </w:style>
  <w:style w:type="paragraph" w:styleId="6">
    <w:name w:val="Balloon Text"/>
    <w:basedOn w:val="1"/>
    <w:link w:val="12"/>
    <w:autoRedefine/>
    <w:qFormat/>
    <w:uiPriority w:val="0"/>
    <w:rPr>
      <w:sz w:val="18"/>
      <w:szCs w:val="18"/>
    </w:rPr>
  </w:style>
  <w:style w:type="paragraph" w:styleId="7">
    <w:name w:val="footer"/>
    <w:basedOn w:val="1"/>
    <w:link w:val="13"/>
    <w:autoRedefine/>
    <w:qFormat/>
    <w:uiPriority w:val="99"/>
    <w:pPr>
      <w:tabs>
        <w:tab w:val="center" w:pos="4153"/>
        <w:tab w:val="right" w:pos="8306"/>
      </w:tabs>
      <w:snapToGrid w:val="0"/>
      <w:jc w:val="left"/>
    </w:pPr>
    <w:rPr>
      <w:sz w:val="18"/>
      <w:szCs w:val="20"/>
    </w:rPr>
  </w:style>
  <w:style w:type="paragraph" w:styleId="8">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autoRedefine/>
    <w:qFormat/>
    <w:uiPriority w:val="0"/>
  </w:style>
  <w:style w:type="character" w:customStyle="1" w:styleId="12">
    <w:name w:val="批注框文本 Char"/>
    <w:link w:val="6"/>
    <w:autoRedefine/>
    <w:qFormat/>
    <w:uiPriority w:val="0"/>
    <w:rPr>
      <w:rFonts w:ascii="Times New Roman" w:hAnsi="Times New Roman"/>
      <w:kern w:val="2"/>
      <w:sz w:val="18"/>
      <w:szCs w:val="18"/>
    </w:rPr>
  </w:style>
  <w:style w:type="character" w:customStyle="1" w:styleId="13">
    <w:name w:val="页脚 Char"/>
    <w:link w:val="7"/>
    <w:autoRedefine/>
    <w:qFormat/>
    <w:uiPriority w:val="99"/>
    <w:rPr>
      <w:rFonts w:ascii="Times New Roman" w:hAnsi="Times New Roman"/>
      <w:kern w:val="2"/>
      <w:sz w:val="18"/>
    </w:rPr>
  </w:style>
  <w:style w:type="character" w:customStyle="1" w:styleId="14">
    <w:name w:val="页眉 Char"/>
    <w:link w:val="8"/>
    <w:autoRedefine/>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Li\Desktop\&#23457;&#35780;&#20013;&#24515;\&#39044;&#20915;&#31639;&#30456;&#20851;\2024&#24180;&#24230;&#20915;&#31639;&#21046;&#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收入预算</a:t>
            </a:r>
            <a:r>
              <a:rPr lang="zh-CN"/>
              <a:t> </a:t>
            </a:r>
            <a:endParaRPr lang="zh-CN"/>
          </a:p>
        </c:rich>
      </c:tx>
      <c:layout/>
      <c:overlay val="0"/>
    </c:title>
    <c:autoTitleDeleted val="0"/>
    <c:plotArea>
      <c:layout>
        <c:manualLayout>
          <c:layoutTarget val="inner"/>
          <c:xMode val="edge"/>
          <c:yMode val="edge"/>
          <c:x val="0.195586928468214"/>
          <c:y val="0.167871480875619"/>
          <c:w val="0.500913562216504"/>
          <c:h val="0.818056596243428"/>
        </c:manualLayout>
      </c:layout>
      <c:pieChart>
        <c:varyColors val="1"/>
        <c:ser>
          <c:idx val="0"/>
          <c:order val="0"/>
          <c:tx>
            <c:strRef>
              <c:f>'图5--收入、支出结构'!$C$1:$C$2</c:f>
              <c:strCache>
                <c:ptCount val="1"/>
                <c:pt idx="0">
                  <c:v>收入预算 决算数</c:v>
                </c:pt>
              </c:strCache>
            </c:strRef>
          </c:tx>
          <c:explosion val="25"/>
          <c:dPt>
            <c:idx val="0"/>
            <c:bubble3D val="0"/>
            <c:explosion val="0"/>
          </c:dPt>
          <c:dLbls>
            <c:dLbl>
              <c:idx val="0"/>
              <c:layout>
                <c:manualLayout>
                  <c:x val="0.0217625024021948"/>
                  <c:y val="-0.169755862783259"/>
                </c:manualLayout>
              </c:layout>
              <c:numFmt formatCode="0.00%" sourceLinked="0"/>
              <c:spPr>
                <a:noFill/>
                <a:ln>
                  <a:noFill/>
                </a:ln>
                <a:effectLst/>
              </c:spPr>
              <c:txPr>
                <a:bodyPr rot="0" spcFirstLastPara="0" vertOverflow="ellipsis" vert="horz" wrap="square" lIns="38100" tIns="19050" rIns="36000" bIns="19050" anchor="ctr" anchorCtr="1">
                  <a:noAutofit/>
                </a:bodyPr>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manualLayout>
                      <c:w val="0.123560125466466"/>
                      <c:h val="0.100990601981204"/>
                    </c:manualLayout>
                  </c15:layout>
                </c:ext>
              </c:extLst>
            </c:dLbl>
            <c:numFmt formatCode="0.00%" sourceLinked="0"/>
            <c:spPr>
              <a:noFill/>
              <a:ln>
                <a:noFill/>
              </a:ln>
              <a:effectLst/>
            </c:spPr>
            <c:txPr>
              <a:bodyPr rot="0" spcFirstLastPara="0" vertOverflow="ellipsis" vert="horz" wrap="square" lIns="38100" tIns="19050" rIns="360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'图5--收入、支出结构'!$B$3</c:f>
              <c:strCache>
                <c:ptCount val="1"/>
                <c:pt idx="0">
                  <c:v>一般公共预算拨款收入</c:v>
                </c:pt>
              </c:strCache>
            </c:strRef>
          </c:cat>
          <c:val>
            <c:numRef>
              <c:f>'图5--收入、支出结构'!$C$3</c:f>
              <c:numCache>
                <c:formatCode>#,##0.00</c:formatCode>
                <c:ptCount val="1"/>
                <c:pt idx="0">
                  <c:v>2136.56</c:v>
                </c:pt>
              </c:numCache>
            </c:numRef>
          </c:val>
        </c:ser>
        <c:ser>
          <c:idx val="1"/>
          <c:order val="1"/>
          <c:tx>
            <c:strRef>
              <c:f>'图5--收入、支出结构'!$D$1:$D$2</c:f>
              <c:strCache>
                <c:ptCount val="1"/>
                <c:pt idx="0">
                  <c:v>收入预算 占比</c:v>
                </c:pt>
              </c:strCache>
            </c:strRef>
          </c:tx>
          <c:explosion val="25"/>
          <c:dPt>
            <c:idx val="0"/>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'图5--收入、支出结构'!$B$3</c:f>
              <c:strCache>
                <c:ptCount val="1"/>
                <c:pt idx="0">
                  <c:v>一般公共预算拨款收入</c:v>
                </c:pt>
              </c:strCache>
            </c:strRef>
          </c:cat>
          <c:val>
            <c:numRef>
              <c:f>'图5--收入、支出结构'!$D$3</c:f>
              <c:numCache>
                <c:formatCode>0.00%</c:formatCode>
                <c:ptCount val="1"/>
                <c:pt idx="0">
                  <c:v>1</c:v>
                </c:pt>
              </c:numCache>
            </c:numRef>
          </c:val>
        </c:ser>
        <c:dLbls>
          <c:showLegendKey val="0"/>
          <c:showVal val="0"/>
          <c:showCatName val="0"/>
          <c:showSerName val="0"/>
          <c:showPercent val="1"/>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078fde4-9239-41d0-8ca3-1cbfb5e8d4f4}"/>
      </c:ext>
    </c:extLst>
  </c:chart>
  <c:spPr>
    <a:ln w="6350" cap="flat" cmpd="sng" algn="ctr">
      <a:solidFill>
        <a:schemeClr val="bg1">
          <a:lumMod val="85000"/>
        </a:schemeClr>
      </a:solid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72</a:t>
                    </a:r>
                    <a:r>
                      <a:rPr lang="en-US" altLang="zh-CN"/>
                      <a:t>.01</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2</a:t>
                    </a:r>
                    <a:r>
                      <a:rPr lang="en-US" altLang="zh-CN"/>
                      <a:t>7.99</a:t>
                    </a:r>
                    <a:r>
                      <a:t>%</a:t>
                    </a:r>
                  </a:p>
                </c:rich>
              </c:tx>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[2024年度决算制图.xlsx]Sheet7!$A$1:$A$2</c:f>
              <c:strCache>
                <c:ptCount val="2"/>
                <c:pt idx="0">
                  <c:v>基本支出</c:v>
                </c:pt>
                <c:pt idx="1">
                  <c:v>项目支出</c:v>
                </c:pt>
              </c:strCache>
            </c:strRef>
          </c:cat>
          <c:val>
            <c:numRef>
              <c:f>[2024年度决算制图.xlsx]Sheet7!$B$1:$B$2</c:f>
              <c:numCache>
                <c:formatCode>0.00%</c:formatCode>
                <c:ptCount val="2"/>
                <c:pt idx="0">
                  <c:v>0.7201</c:v>
                </c:pt>
                <c:pt idx="1">
                  <c:v>0.2799</c:v>
                </c:pt>
              </c:numCache>
            </c:numRef>
          </c:val>
        </c:ser>
        <c:dLbls>
          <c:showLegendKey val="0"/>
          <c:showVal val="0"/>
          <c:showCatName val="1"/>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dc4cfe28-ce75-41f7-b8d8-f951daae14d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9</Pages>
  <Words>2288</Words>
  <Characters>2669</Characters>
  <Lines>108</Lines>
  <Paragraphs>30</Paragraphs>
  <TotalTime>1</TotalTime>
  <ScaleCrop>false</ScaleCrop>
  <LinksUpToDate>false</LinksUpToDate>
  <CharactersWithSpaces>2695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2022-02-07T01:48:00Z</dcterms:created>
  <dc:creator>马荣丽</dc:creator>
  <cp:lastModifiedBy>yd</cp:lastModifiedBy>
  <cp:lastPrinted>2024-02-21T09:18:00Z</cp:lastPrinted>
  <dcterms:modified xsi:type="dcterms:W3CDTF">2025-02-28T03:28:20Z</dcterms:modified>
  <dc:title>处领导：</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6BAF605AD32841A683720F9B1F50FDC6_13</vt:lpwstr>
  </property>
  <property fmtid="{D5CDD505-2E9C-101B-9397-08002B2CF9AE}" pid="4" name="KSOTemplateDocerSaveRecord">
    <vt:lpwstr>eyJoZGlkIjoiNjllMTQ1N2NiYWJhNmE3MmJmNjczYjE3MmE0Mzc5ZDEiLCJ1c2VySWQiOiIxMjgzMzY4NzkzIn0=</vt:lpwstr>
  </property>
</Properties>
</file>