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75A94">
      <w:pPr>
        <w:spacing w:line="560" w:lineRule="exact"/>
        <w:jc w:val="center"/>
        <w:rPr>
          <w:rFonts w:hint="eastAsia" w:ascii="方正小标宋简体" w:eastAsia="方正小标宋简体"/>
          <w:color w:val="000000"/>
          <w:sz w:val="44"/>
          <w:szCs w:val="44"/>
          <w:u w:val="none"/>
          <w:lang w:val="en-US" w:eastAsia="zh-CN"/>
        </w:rPr>
      </w:pPr>
      <w:bookmarkStart w:id="0" w:name="_GoBack"/>
      <w:bookmarkEnd w:id="0"/>
      <w:r>
        <w:rPr>
          <w:rFonts w:hint="eastAsia" w:ascii="方正小标宋简体" w:eastAsia="方正小标宋简体"/>
          <w:color w:val="000000"/>
          <w:sz w:val="44"/>
          <w:szCs w:val="44"/>
          <w:u w:val="none"/>
          <w:lang w:val="en-US" w:eastAsia="zh-CN"/>
        </w:rPr>
        <w:t>中关村高科技产业促进中心</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4A34C9B6">
      <w:pPr>
        <w:pStyle w:val="2"/>
        <w:rPr>
          <w:rFonts w:hint="default" w:ascii="Cambria" w:eastAsia="黑体"/>
          <w:color w:val="000000"/>
          <w:sz w:val="36"/>
          <w:szCs w:val="32"/>
        </w:rPr>
      </w:pP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5F452D62">
      <w:pPr>
        <w:pStyle w:val="2"/>
        <w:rPr>
          <w:rFonts w:hint="eastAsia"/>
        </w:rPr>
      </w:pPr>
    </w:p>
    <w:p w14:paraId="2180D554">
      <w:pPr>
        <w:spacing w:line="560" w:lineRule="exact"/>
        <w:jc w:val="center"/>
        <w:rPr>
          <w:rFonts w:hint="eastAsia" w:ascii="方正小标宋简体" w:eastAsia="方正小标宋简体"/>
          <w:color w:val="000000"/>
          <w:sz w:val="36"/>
          <w:szCs w:val="36"/>
          <w:u w:val="none"/>
        </w:rPr>
      </w:pPr>
    </w:p>
    <w:p w14:paraId="2DD0AD5D">
      <w:pPr>
        <w:spacing w:line="560" w:lineRule="exact"/>
        <w:jc w:val="center"/>
        <w:rPr>
          <w:rFonts w:hint="eastAsia" w:ascii="方正小标宋简体" w:eastAsia="方正小标宋简体"/>
          <w:color w:val="000000"/>
          <w:sz w:val="36"/>
          <w:szCs w:val="36"/>
          <w:u w:val="none"/>
        </w:rPr>
      </w:pPr>
    </w:p>
    <w:p w14:paraId="0978DB61">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72182DA8">
      <w:pPr>
        <w:spacing w:line="560" w:lineRule="exact"/>
        <w:ind w:firstLine="640" w:firstLineChars="200"/>
        <w:rPr>
          <w:rFonts w:hint="eastAsia" w:ascii="黑体" w:eastAsia="黑体"/>
          <w:color w:val="000000"/>
          <w:sz w:val="32"/>
          <w:szCs w:val="32"/>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06ABAE53">
      <w:pPr>
        <w:spacing w:line="560" w:lineRule="exact"/>
        <w:ind w:firstLine="640" w:firstLineChars="200"/>
        <w:jc w:val="both"/>
        <w:rPr>
          <w:rFonts w:hint="eastAsia"/>
        </w:rPr>
      </w:pPr>
      <w:r>
        <w:rPr>
          <w:rFonts w:hint="eastAsia" w:ascii="仿宋_GB2312" w:eastAsia="仿宋_GB2312"/>
          <w:color w:val="000000"/>
          <w:sz w:val="32"/>
          <w:szCs w:val="32"/>
          <w:u w:val="none"/>
        </w:rPr>
        <w:t>根据《</w:t>
      </w:r>
      <w:r>
        <w:rPr>
          <w:rFonts w:hint="eastAsia" w:ascii="仿宋_GB2312" w:eastAsia="仿宋_GB2312"/>
          <w:color w:val="000000"/>
          <w:sz w:val="32"/>
          <w:szCs w:val="32"/>
          <w:u w:val="none"/>
          <w:lang w:eastAsia="zh-CN"/>
        </w:rPr>
        <w:t>中共北京市委机构编制委员会关于市科委、中关村管委会所属事业单位改革有关事项的批复</w:t>
      </w:r>
      <w:r>
        <w:rPr>
          <w:rFonts w:hint="eastAsia" w:ascii="仿宋_GB2312" w:eastAsia="仿宋_GB2312"/>
          <w:color w:val="000000"/>
          <w:sz w:val="32"/>
          <w:szCs w:val="32"/>
          <w:u w:val="none"/>
        </w:rPr>
        <w:t>》（京编</w:t>
      </w:r>
      <w:r>
        <w:rPr>
          <w:rFonts w:hint="eastAsia" w:ascii="仿宋_GB2312" w:eastAsia="仿宋_GB2312"/>
          <w:color w:val="000000"/>
          <w:sz w:val="32"/>
          <w:szCs w:val="32"/>
          <w:u w:val="none"/>
          <w:lang w:eastAsia="zh-CN"/>
        </w:rPr>
        <w:t>委〔</w:t>
      </w:r>
      <w:r>
        <w:rPr>
          <w:rFonts w:hint="eastAsia" w:ascii="仿宋_GB2312" w:eastAsia="仿宋_GB2312"/>
          <w:color w:val="000000"/>
          <w:sz w:val="32"/>
          <w:szCs w:val="32"/>
          <w:u w:val="none"/>
          <w:lang w:val="en-US" w:eastAsia="zh-CN"/>
        </w:rPr>
        <w:t>2021</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lang w:val="en-US" w:eastAsia="zh-CN"/>
        </w:rPr>
        <w:t>66</w:t>
      </w:r>
      <w:r>
        <w:rPr>
          <w:rFonts w:hint="eastAsia" w:ascii="仿宋_GB2312" w:eastAsia="仿宋_GB2312"/>
          <w:color w:val="000000"/>
          <w:sz w:val="32"/>
          <w:szCs w:val="32"/>
          <w:u w:val="none"/>
        </w:rPr>
        <w:t>号）</w:t>
      </w:r>
      <w:r>
        <w:rPr>
          <w:rFonts w:hint="eastAsia" w:ascii="仿宋_GB2312" w:eastAsia="仿宋_GB2312"/>
          <w:color w:val="000000"/>
          <w:sz w:val="32"/>
          <w:szCs w:val="32"/>
          <w:u w:val="none"/>
          <w:lang w:val="en-US" w:eastAsia="zh-CN"/>
        </w:rPr>
        <w:t>文件，设立中关村高科技产业促进中心。</w:t>
      </w:r>
      <w:r>
        <w:rPr>
          <w:rFonts w:hint="eastAsia" w:ascii="仿宋_GB2312" w:eastAsia="仿宋_GB2312"/>
          <w:color w:val="000000"/>
          <w:sz w:val="32"/>
          <w:szCs w:val="32"/>
          <w:u w:val="none"/>
        </w:rPr>
        <w:t>主要职责：承担相关高精尖产业和中关村示范区高科技产业发展规划、政策建议的研究以及信息收集整理与分析工作，组织开展产业促进、创新型企业培育、创新协作和交流交往等活动，牵头落实全市创新型企业服务工作专班及重点企业“服务包”任务，具体承担高新技术企业认定、科技型中小企业评价、一区多园统筹等政策的组织落实工作。</w:t>
      </w:r>
    </w:p>
    <w:p w14:paraId="53938103">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2E25A3B3">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u w:val="none"/>
          <w:lang w:val="en-US" w:eastAsia="zh-CN"/>
        </w:rPr>
        <w:t>中关村高科技产业促进中心</w:t>
      </w:r>
      <w:r>
        <w:rPr>
          <w:rFonts w:hint="eastAsia" w:ascii="仿宋_GB2312" w:hAnsi="Times New Roman" w:eastAsia="仿宋_GB2312"/>
          <w:color w:val="auto"/>
          <w:sz w:val="32"/>
          <w:szCs w:val="32"/>
        </w:rPr>
        <w:t>下设</w:t>
      </w:r>
      <w:r>
        <w:rPr>
          <w:rFonts w:hint="eastAsia" w:ascii="仿宋_GB2312" w:eastAsia="仿宋_GB2312"/>
          <w:color w:val="auto"/>
          <w:sz w:val="32"/>
          <w:szCs w:val="32"/>
          <w:lang w:val="en-US" w:eastAsia="zh-CN"/>
        </w:rPr>
        <w:t>7</w:t>
      </w:r>
      <w:r>
        <w:rPr>
          <w:rFonts w:hint="eastAsia" w:ascii="仿宋_GB2312" w:hAnsi="Times New Roman" w:eastAsia="仿宋_GB2312"/>
          <w:color w:val="auto"/>
          <w:sz w:val="32"/>
          <w:szCs w:val="32"/>
        </w:rPr>
        <w:t>个部门，分别是</w:t>
      </w:r>
      <w:r>
        <w:rPr>
          <w:rFonts w:hint="eastAsia" w:ascii="仿宋_GB2312" w:eastAsia="仿宋_GB2312"/>
          <w:color w:val="auto"/>
          <w:sz w:val="32"/>
          <w:szCs w:val="32"/>
        </w:rPr>
        <w:t>综合管理部、认定评价部、企业服务一部、企业服务二部、园区发展部、产业促进部</w:t>
      </w:r>
      <w:r>
        <w:rPr>
          <w:rFonts w:hint="eastAsia" w:ascii="仿宋_GB2312" w:eastAsia="仿宋_GB2312"/>
          <w:color w:val="auto"/>
          <w:sz w:val="32"/>
          <w:szCs w:val="32"/>
          <w:lang w:val="en-US" w:eastAsia="zh-CN"/>
        </w:rPr>
        <w:t>和</w:t>
      </w:r>
      <w:r>
        <w:rPr>
          <w:rFonts w:hint="eastAsia" w:ascii="仿宋_GB2312" w:eastAsia="仿宋_GB2312"/>
          <w:color w:val="auto"/>
          <w:sz w:val="32"/>
          <w:szCs w:val="32"/>
        </w:rPr>
        <w:t>技术创新部</w:t>
      </w:r>
      <w:r>
        <w:rPr>
          <w:rFonts w:hint="eastAsia" w:ascii="仿宋_GB2312" w:hAnsi="Times New Roman" w:eastAsia="仿宋_GB2312"/>
          <w:color w:val="auto"/>
          <w:sz w:val="32"/>
          <w:szCs w:val="32"/>
        </w:rPr>
        <w:t>。</w:t>
      </w:r>
    </w:p>
    <w:p w14:paraId="28D848E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00875798">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lang w:val="en-US" w:eastAsia="zh-CN"/>
        </w:rPr>
        <w:t>中关村高科技产业促进中心</w:t>
      </w:r>
      <w:r>
        <w:rPr>
          <w:rFonts w:hint="eastAsia" w:ascii="仿宋_GB2312" w:eastAsia="仿宋_GB2312"/>
          <w:color w:val="000000"/>
          <w:sz w:val="32"/>
          <w:szCs w:val="32"/>
          <w:u w:val="none"/>
        </w:rPr>
        <w:t>事业编制</w:t>
      </w:r>
      <w:r>
        <w:rPr>
          <w:rFonts w:hint="eastAsia" w:ascii="仿宋_GB2312" w:eastAsia="仿宋_GB2312"/>
          <w:color w:val="000000"/>
          <w:sz w:val="32"/>
          <w:szCs w:val="32"/>
          <w:u w:val="none"/>
          <w:lang w:val="en-US" w:eastAsia="zh-CN"/>
        </w:rPr>
        <w:t>48</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val="en-US" w:eastAsia="zh-CN"/>
        </w:rPr>
        <w:t>40</w:t>
      </w:r>
      <w:r>
        <w:rPr>
          <w:rFonts w:hint="eastAsia" w:ascii="仿宋_GB2312" w:eastAsia="仿宋_GB2312"/>
          <w:color w:val="000000"/>
          <w:sz w:val="32"/>
          <w:szCs w:val="32"/>
          <w:u w:val="none"/>
        </w:rPr>
        <w:t>人</w:t>
      </w:r>
      <w:r>
        <w:rPr>
          <w:rFonts w:hint="eastAsia" w:ascii="仿宋_GB2312" w:eastAsia="仿宋_GB2312"/>
          <w:color w:val="000000"/>
          <w:sz w:val="32"/>
          <w:szCs w:val="32"/>
          <w:u w:val="none"/>
          <w:lang w:eastAsia="zh-CN"/>
        </w:rPr>
        <w:t>。</w:t>
      </w:r>
    </w:p>
    <w:p w14:paraId="59D1DCA3">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sz w:val="32"/>
          <w:szCs w:val="32"/>
        </w:rPr>
        <w:t>离退休人员</w:t>
      </w:r>
      <w:r>
        <w:rPr>
          <w:rFonts w:hint="eastAsia" w:ascii="仿宋_GB2312" w:eastAsia="仿宋_GB2312"/>
          <w:color w:val="000000"/>
          <w:sz w:val="32"/>
          <w:szCs w:val="32"/>
          <w:lang w:val="en-US" w:eastAsia="zh-CN"/>
        </w:rPr>
        <w:t>7</w:t>
      </w:r>
      <w:r>
        <w:rPr>
          <w:rFonts w:ascii="仿宋_GB2312" w:eastAsia="仿宋_GB2312"/>
          <w:sz w:val="32"/>
          <w:szCs w:val="32"/>
        </w:rPr>
        <w:t>人，其中：离休</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lang w:val="en-US" w:eastAsia="zh-CN"/>
        </w:rPr>
        <w:t>7</w:t>
      </w:r>
      <w:r>
        <w:rPr>
          <w:rFonts w:ascii="仿宋_GB2312" w:eastAsia="仿宋_GB2312"/>
          <w:sz w:val="32"/>
          <w:szCs w:val="32"/>
        </w:rPr>
        <w:t>人</w:t>
      </w:r>
      <w:r>
        <w:rPr>
          <w:rFonts w:hint="eastAsia" w:ascii="仿宋_GB2312" w:eastAsia="仿宋_GB2312"/>
          <w:color w:val="000000"/>
          <w:sz w:val="32"/>
          <w:szCs w:val="32"/>
          <w:u w:val="none"/>
        </w:rPr>
        <w:t>。</w:t>
      </w:r>
    </w:p>
    <w:p w14:paraId="055D2609">
      <w:pPr>
        <w:numPr>
          <w:ilvl w:val="0"/>
          <w:numId w:val="2"/>
        </w:num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796D3FBD">
      <w:pPr>
        <w:numPr>
          <w:ilvl w:val="0"/>
          <w:numId w:val="0"/>
        </w:numPr>
        <w:spacing w:line="560" w:lineRule="exact"/>
        <w:ind w:firstLine="640" w:firstLineChars="200"/>
        <w:rPr>
          <w:rFonts w:hint="eastAsia" w:ascii="仿宋_GB2312" w:hAnsi="Times New Roman" w:eastAsia="仿宋_GB2312" w:cs="Droid Sans"/>
          <w:b w:val="0"/>
          <w:bCs w:val="0"/>
          <w:color w:val="auto"/>
          <w:kern w:val="2"/>
          <w:sz w:val="32"/>
          <w:u w:val="none"/>
          <w:lang w:eastAsia="zh-CN"/>
        </w:rPr>
      </w:pPr>
      <w:r>
        <w:rPr>
          <w:rFonts w:hint="eastAsia" w:ascii="仿宋_GB2312" w:eastAsia="仿宋_GB2312" w:cs="Droid Sans"/>
          <w:color w:val="auto"/>
          <w:sz w:val="32"/>
          <w:szCs w:val="32"/>
          <w:u w:val="none"/>
          <w:lang w:val="en-US" w:eastAsia="zh-CN"/>
        </w:rPr>
        <w:t>2025年度收入预算3,583.82</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s="Droid Sans"/>
          <w:color w:val="auto"/>
          <w:sz w:val="32"/>
          <w:szCs w:val="32"/>
          <w:u w:val="none"/>
          <w:lang w:val="en-US" w:eastAsia="zh-CN"/>
        </w:rPr>
        <w:t>2,870.01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713.81</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24.87</w:t>
      </w:r>
      <w:r>
        <w:rPr>
          <w:rFonts w:hint="eastAsia" w:ascii="仿宋_GB2312" w:eastAsia="仿宋_GB2312"/>
          <w:color w:val="auto"/>
          <w:sz w:val="32"/>
          <w:szCs w:val="32"/>
          <w:u w:val="none"/>
        </w:rPr>
        <w:t>%。</w:t>
      </w:r>
      <w:r>
        <w:rPr>
          <w:rFonts w:hint="eastAsia" w:ascii="仿宋_GB2312" w:eastAsia="仿宋_GB2312"/>
          <w:color w:val="auto"/>
          <w:sz w:val="32"/>
          <w:szCs w:val="32"/>
          <w:highlight w:val="none"/>
          <w:u w:val="none"/>
          <w:lang w:eastAsia="zh-CN"/>
        </w:rPr>
        <w:t>主要原因是</w:t>
      </w:r>
      <w:r>
        <w:rPr>
          <w:rFonts w:hint="eastAsia" w:ascii="仿宋_GB2312" w:hAnsi="Times New Roman" w:eastAsia="仿宋_GB2312" w:cs="Droid Sans"/>
          <w:b w:val="0"/>
          <w:bCs w:val="0"/>
          <w:color w:val="auto"/>
          <w:kern w:val="2"/>
          <w:sz w:val="32"/>
          <w:u w:val="none"/>
          <w:lang w:eastAsia="zh-CN"/>
        </w:rPr>
        <w:t>按照全口径预算管理要求，为进一步加强非财政拨款资金管理，</w:t>
      </w:r>
      <w:r>
        <w:rPr>
          <w:rFonts w:hint="eastAsia" w:ascii="仿宋_GB2312" w:eastAsia="仿宋_GB2312" w:cs="Droid Sans"/>
          <w:b w:val="0"/>
          <w:bCs w:val="0"/>
          <w:color w:val="auto"/>
          <w:kern w:val="2"/>
          <w:sz w:val="32"/>
          <w:u w:val="none"/>
          <w:lang w:val="en-US" w:eastAsia="zh-CN"/>
        </w:rPr>
        <w:t>本单位</w:t>
      </w:r>
      <w:r>
        <w:rPr>
          <w:rFonts w:hint="eastAsia" w:ascii="仿宋_GB2312" w:hAnsi="Times New Roman" w:eastAsia="仿宋_GB2312" w:cs="Droid Sans"/>
          <w:b w:val="0"/>
          <w:bCs w:val="0"/>
          <w:color w:val="auto"/>
          <w:kern w:val="2"/>
          <w:sz w:val="32"/>
          <w:u w:val="none"/>
          <w:lang w:eastAsia="zh-CN"/>
        </w:rPr>
        <w:t>将所有非财政拨款资金全部纳入年度预算管理。</w:t>
      </w:r>
    </w:p>
    <w:p w14:paraId="44918C9A">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本年财政拨款收入2,490.9</w:t>
      </w:r>
      <w:r>
        <w:rPr>
          <w:rFonts w:hint="eastAsia" w:ascii="楷体_GB2312" w:eastAsia="楷体_GB2312"/>
          <w:color w:val="auto"/>
          <w:sz w:val="32"/>
          <w:szCs w:val="32"/>
          <w:u w:val="none"/>
          <w:lang w:val="en-US" w:eastAsia="zh-CN"/>
        </w:rPr>
        <w:t>2</w:t>
      </w:r>
      <w:r>
        <w:rPr>
          <w:rFonts w:hint="eastAsia" w:ascii="楷体_GB2312" w:eastAsia="楷体_GB2312"/>
          <w:color w:val="auto"/>
          <w:sz w:val="32"/>
          <w:szCs w:val="32"/>
          <w:u w:val="none"/>
          <w:lang w:eastAsia="zh-CN"/>
        </w:rPr>
        <w:t>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一般公共预算拨款收入2,490.92</w:t>
      </w:r>
      <w:r>
        <w:rPr>
          <w:rFonts w:hint="eastAsia" w:ascii="仿宋_GB2312" w:eastAsia="仿宋_GB2312" w:cs="Droid Sans"/>
          <w:color w:val="auto"/>
          <w:sz w:val="32"/>
          <w:szCs w:val="32"/>
          <w:u w:val="none"/>
        </w:rPr>
        <w:t>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7F46F20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3981345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372A158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46549A7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0758434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0EF2C6C">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上年结转结余1,092.90</w:t>
      </w:r>
      <w:r>
        <w:rPr>
          <w:rFonts w:hint="eastAsia" w:ascii="楷体_GB2312" w:eastAsia="楷体_GB2312" w:cs="Droid Sans"/>
          <w:color w:val="auto"/>
          <w:sz w:val="32"/>
          <w:szCs w:val="32"/>
          <w:u w:val="none"/>
          <w:lang w:eastAsia="zh-CN"/>
        </w:rPr>
        <w:t>万元</w:t>
      </w:r>
    </w:p>
    <w:p w14:paraId="61AD8D50">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10.上年结转结余1,092.90</w:t>
      </w:r>
      <w:r>
        <w:rPr>
          <w:rFonts w:hint="eastAsia" w:ascii="仿宋_GB2312" w:eastAsia="仿宋_GB2312" w:cs="Droid Sans"/>
          <w:color w:val="auto"/>
          <w:sz w:val="32"/>
          <w:szCs w:val="32"/>
          <w:u w:val="none"/>
        </w:rPr>
        <w:t>万元。</w:t>
      </w:r>
    </w:p>
    <w:p w14:paraId="15A6EC04">
      <w:pPr>
        <w:pStyle w:val="2"/>
        <w:jc w:val="center"/>
        <w:rPr>
          <w:rFonts w:hint="eastAsia" w:eastAsia="黑体"/>
          <w:u w:val="none"/>
          <w:lang w:eastAsia="zh-CN"/>
        </w:rPr>
      </w:pPr>
      <w:r>
        <w:rPr>
          <w:rFonts w:hint="eastAsia" w:eastAsia="黑体"/>
          <w:u w:val="none"/>
          <w:lang w:eastAsia="zh-CN"/>
        </w:rPr>
        <w:drawing>
          <wp:inline distT="0" distB="0" distL="114300" distR="114300">
            <wp:extent cx="4839970" cy="2755265"/>
            <wp:effectExtent l="0" t="0" r="17780" b="6985"/>
            <wp:docPr id="3" name="图片 3" descr="预算收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预算收入"/>
                    <pic:cNvPicPr>
                      <a:picLocks noChangeAspect="1"/>
                    </pic:cNvPicPr>
                  </pic:nvPicPr>
                  <pic:blipFill>
                    <a:blip r:embed="rId5"/>
                    <a:stretch>
                      <a:fillRect/>
                    </a:stretch>
                  </pic:blipFill>
                  <pic:spPr>
                    <a:xfrm>
                      <a:off x="0" y="0"/>
                      <a:ext cx="4839970" cy="2755265"/>
                    </a:xfrm>
                    <a:prstGeom prst="rect">
                      <a:avLst/>
                    </a:prstGeom>
                  </pic:spPr>
                </pic:pic>
              </a:graphicData>
            </a:graphic>
          </wp:inline>
        </w:drawing>
      </w:r>
    </w:p>
    <w:p w14:paraId="4EB0F6ED">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5721869F">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68988A04">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3,583.82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s="Droid Sans"/>
          <w:color w:val="auto"/>
          <w:sz w:val="32"/>
          <w:szCs w:val="32"/>
          <w:u w:val="none"/>
          <w:lang w:val="en-US" w:eastAsia="zh-CN"/>
        </w:rPr>
        <w:t>2,870.01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713.81</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24.87</w:t>
      </w:r>
      <w:r>
        <w:rPr>
          <w:rFonts w:hint="eastAsia" w:ascii="仿宋_GB2312" w:eastAsia="仿宋_GB2312"/>
          <w:color w:val="auto"/>
          <w:sz w:val="32"/>
          <w:szCs w:val="32"/>
          <w:u w:val="none"/>
        </w:rPr>
        <w:t>%。</w:t>
      </w:r>
      <w:r>
        <w:rPr>
          <w:rFonts w:hint="eastAsia" w:ascii="仿宋_GB2312" w:eastAsia="仿宋_GB2312"/>
          <w:color w:val="auto"/>
          <w:sz w:val="32"/>
          <w:szCs w:val="32"/>
          <w:highlight w:val="none"/>
          <w:u w:val="none"/>
          <w:lang w:eastAsia="zh-CN"/>
        </w:rPr>
        <w:t>主要原因</w:t>
      </w:r>
      <w:r>
        <w:rPr>
          <w:rFonts w:hint="eastAsia" w:ascii="仿宋_GB2312" w:eastAsia="仿宋_GB2312"/>
          <w:color w:val="auto"/>
          <w:sz w:val="32"/>
          <w:szCs w:val="32"/>
          <w:highlight w:val="none"/>
          <w:u w:val="none"/>
          <w:lang w:val="en-US" w:eastAsia="zh-CN"/>
        </w:rPr>
        <w:t>是</w:t>
      </w:r>
      <w:r>
        <w:rPr>
          <w:rFonts w:hint="eastAsia" w:ascii="仿宋_GB2312" w:hAnsi="Times New Roman" w:eastAsia="仿宋_GB2312" w:cs="Droid Sans"/>
          <w:color w:val="auto"/>
          <w:sz w:val="32"/>
          <w:szCs w:val="32"/>
          <w:u w:val="none"/>
        </w:rPr>
        <w:t>根据</w:t>
      </w:r>
      <w:r>
        <w:rPr>
          <w:rFonts w:hint="eastAsia" w:ascii="仿宋_GB2312" w:hAnsi="Times New Roman" w:eastAsia="仿宋_GB2312" w:cs="Droid Sans"/>
          <w:color w:val="auto"/>
          <w:sz w:val="32"/>
          <w:szCs w:val="32"/>
          <w:u w:val="none"/>
          <w:lang w:val="en-US" w:eastAsia="zh-CN"/>
        </w:rPr>
        <w:t>实际需求</w:t>
      </w:r>
      <w:r>
        <w:rPr>
          <w:rFonts w:hint="eastAsia" w:ascii="仿宋_GB2312" w:hAnsi="Times New Roman" w:eastAsia="仿宋_GB2312" w:cs="Droid Sans"/>
          <w:color w:val="auto"/>
          <w:sz w:val="32"/>
          <w:szCs w:val="32"/>
          <w:u w:val="none"/>
        </w:rPr>
        <w:t>，增加股权划转</w:t>
      </w:r>
      <w:r>
        <w:rPr>
          <w:rFonts w:hint="eastAsia" w:ascii="仿宋_GB2312" w:hAnsi="Times New Roman" w:eastAsia="仿宋_GB2312" w:cs="Droid Sans"/>
          <w:color w:val="auto"/>
          <w:sz w:val="32"/>
          <w:szCs w:val="32"/>
          <w:u w:val="none"/>
          <w:lang w:val="en-US" w:eastAsia="zh-CN"/>
        </w:rPr>
        <w:t>相关工作</w:t>
      </w:r>
      <w:r>
        <w:rPr>
          <w:rFonts w:hint="eastAsia" w:ascii="仿宋_GB2312" w:hAnsi="Times New Roman" w:eastAsia="仿宋_GB2312" w:cs="Droid Sans"/>
          <w:color w:val="auto"/>
          <w:sz w:val="32"/>
          <w:szCs w:val="32"/>
          <w:u w:val="none"/>
        </w:rPr>
        <w:t>，</w:t>
      </w:r>
      <w:r>
        <w:rPr>
          <w:rFonts w:hint="eastAsia" w:ascii="仿宋_GB2312" w:hAnsi="Times New Roman" w:eastAsia="仿宋_GB2312" w:cs="Droid Sans"/>
          <w:color w:val="auto"/>
          <w:sz w:val="32"/>
          <w:szCs w:val="32"/>
          <w:u w:val="none"/>
          <w:lang w:val="en-US" w:eastAsia="zh-CN"/>
        </w:rPr>
        <w:t>调整有</w:t>
      </w:r>
      <w:r>
        <w:rPr>
          <w:rFonts w:hint="eastAsia" w:ascii="仿宋_GB2312" w:hAnsi="Times New Roman" w:eastAsia="仿宋_GB2312" w:cs="Droid Sans"/>
          <w:color w:val="auto"/>
          <w:sz w:val="32"/>
          <w:szCs w:val="32"/>
          <w:u w:val="none"/>
        </w:rPr>
        <w:t>关项目预算经费。</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支出预算1,623.9</w:t>
      </w:r>
      <w:r>
        <w:rPr>
          <w:rFonts w:hint="eastAsia" w:ascii="仿宋_GB2312" w:eastAsia="仿宋_GB2312"/>
          <w:color w:val="auto"/>
          <w:sz w:val="32"/>
          <w:szCs w:val="32"/>
          <w:highlight w:val="none"/>
          <w:u w:val="none"/>
          <w:lang w:val="en-US" w:eastAsia="zh-CN"/>
        </w:rPr>
        <w:t>9</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45.31</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1,594.11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29.88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1.87</w:t>
      </w:r>
      <w:r>
        <w:rPr>
          <w:rFonts w:hint="eastAsia" w:ascii="仿宋_GB2312" w:eastAsia="仿宋_GB2312"/>
          <w:color w:val="auto"/>
          <w:sz w:val="32"/>
          <w:szCs w:val="32"/>
          <w:u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1,959.83</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1,275.90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683.93</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53.60</w:t>
      </w:r>
      <w:r>
        <w:rPr>
          <w:rFonts w:hint="eastAsia" w:ascii="仿宋_GB2312" w:eastAsia="仿宋_GB2312"/>
          <w:color w:val="auto"/>
          <w:sz w:val="32"/>
          <w:szCs w:val="32"/>
          <w:u w:val="none"/>
        </w:rPr>
        <w:t>%。其中：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FB9BE0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6E3C626">
      <w:pPr>
        <w:pStyle w:val="2"/>
        <w:ind w:firstLine="642"/>
        <w:jc w:val="center"/>
        <w:rPr>
          <w:rFonts w:hint="eastAsia" w:eastAsia="黑体"/>
          <w:color w:val="auto"/>
          <w:u w:val="none"/>
          <w:lang w:eastAsia="zh-CN"/>
        </w:rPr>
      </w:pPr>
      <w:r>
        <w:rPr>
          <w:rFonts w:hint="eastAsia" w:eastAsia="黑体"/>
          <w:color w:val="auto"/>
          <w:u w:val="none"/>
          <w:lang w:eastAsia="zh-CN"/>
        </w:rPr>
        <w:drawing>
          <wp:inline distT="0" distB="0" distL="114300" distR="114300">
            <wp:extent cx="4839970" cy="2755265"/>
            <wp:effectExtent l="0" t="0" r="17780" b="6985"/>
            <wp:docPr id="4" name="图片 4" descr="预算支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预算支出"/>
                    <pic:cNvPicPr>
                      <a:picLocks noChangeAspect="1"/>
                    </pic:cNvPicPr>
                  </pic:nvPicPr>
                  <pic:blipFill>
                    <a:blip r:embed="rId6"/>
                    <a:stretch>
                      <a:fillRect/>
                    </a:stretch>
                  </pic:blipFill>
                  <pic:spPr>
                    <a:xfrm>
                      <a:off x="0" y="0"/>
                      <a:ext cx="4839970" cy="2755265"/>
                    </a:xfrm>
                    <a:prstGeom prst="rect">
                      <a:avLst/>
                    </a:prstGeom>
                  </pic:spPr>
                </pic:pic>
              </a:graphicData>
            </a:graphic>
          </wp:inline>
        </w:drawing>
      </w:r>
    </w:p>
    <w:p w14:paraId="7711499A">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65DCC9A6">
      <w:pPr>
        <w:numPr>
          <w:ilvl w:val="0"/>
          <w:numId w:val="3"/>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14:paraId="5F84549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E5C9E34">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本</w:t>
      </w:r>
      <w:r>
        <w:rPr>
          <w:rFonts w:hint="eastAsia" w:ascii="仿宋_GB2312" w:eastAsia="仿宋_GB2312"/>
          <w:color w:val="auto"/>
          <w:sz w:val="32"/>
          <w:szCs w:val="32"/>
          <w:u w:val="none"/>
          <w:lang w:eastAsia="zh-CN"/>
        </w:rPr>
        <w:t>单位2025年</w:t>
      </w:r>
      <w:r>
        <w:rPr>
          <w:rFonts w:hint="eastAsia" w:ascii="仿宋_GB2312" w:eastAsia="仿宋_GB2312"/>
          <w:color w:val="auto"/>
          <w:sz w:val="32"/>
          <w:szCs w:val="32"/>
          <w:u w:val="none"/>
        </w:rPr>
        <w:t>无财政拨款安排的</w:t>
      </w:r>
      <w:r>
        <w:rPr>
          <w:rFonts w:hint="eastAsia" w:ascii="仿宋_GB2312" w:eastAsia="仿宋_GB2312"/>
          <w:color w:val="auto"/>
          <w:sz w:val="32"/>
          <w:szCs w:val="32"/>
          <w:u w:val="none"/>
          <w:lang w:eastAsia="zh-CN"/>
        </w:rPr>
        <w:t>“三公”经费预算。</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BE1B329">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lang w:val="en-US" w:eastAsia="zh-CN"/>
        </w:rPr>
        <w:t>中关村高科技产业促进中心</w:t>
      </w:r>
      <w:r>
        <w:rPr>
          <w:rFonts w:hint="eastAsia" w:ascii="仿宋_GB2312" w:eastAsia="仿宋_GB2312"/>
          <w:color w:val="auto"/>
          <w:sz w:val="32"/>
          <w:szCs w:val="32"/>
          <w:u w:val="none"/>
        </w:rPr>
        <w:t>政府采购预算总额748.8</w:t>
      </w:r>
      <w:r>
        <w:rPr>
          <w:rFonts w:hint="eastAsia" w:ascii="仿宋_GB2312" w:eastAsia="仿宋_GB2312"/>
          <w:color w:val="auto"/>
          <w:sz w:val="32"/>
          <w:szCs w:val="32"/>
          <w:u w:val="none"/>
          <w:lang w:val="en-US" w:eastAsia="zh-CN"/>
        </w:rPr>
        <w:t>7</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0.70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748.17</w:t>
      </w:r>
      <w:r>
        <w:rPr>
          <w:rFonts w:hint="eastAsia" w:ascii="仿宋_GB2312" w:eastAsia="仿宋_GB2312"/>
          <w:color w:val="auto"/>
          <w:sz w:val="32"/>
          <w:szCs w:val="32"/>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本单位不属于政府购买服务购买主体</w:t>
      </w:r>
      <w:r>
        <w:rPr>
          <w:rFonts w:hint="eastAsia" w:ascii="仿宋_GB2312" w:eastAsia="仿宋_GB2312"/>
          <w:color w:val="auto"/>
          <w:sz w:val="32"/>
          <w:szCs w:val="32"/>
          <w:u w:val="none"/>
          <w:lang w:eastAsia="zh-CN"/>
        </w:rPr>
        <w:t>。</w:t>
      </w:r>
    </w:p>
    <w:p w14:paraId="0E440A4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66DAB557">
      <w:pPr>
        <w:spacing w:line="56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lang w:val="en-US" w:eastAsia="zh-CN"/>
        </w:rPr>
        <w:t>本</w:t>
      </w:r>
      <w:r>
        <w:rPr>
          <w:rFonts w:hint="eastAsia" w:ascii="仿宋_GB2312" w:eastAsia="仿宋_GB2312"/>
          <w:color w:val="auto"/>
          <w:sz w:val="32"/>
          <w:szCs w:val="32"/>
          <w:u w:val="none"/>
        </w:rPr>
        <w:t>单位不在机关运行经费统计范围之内。</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2FEC8455">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中关村高科技产业促进中心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6</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6</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%。填报绩效目标的项目支出预算1,959.83万元，占本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val="en-US" w:eastAsia="zh-CN"/>
        </w:rPr>
        <w:t>中关村高科技产业促进中心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2025年预算安排中，购置单位价值50万元以上的设备0台（套），共计0.00万元。</w:t>
      </w:r>
    </w:p>
    <w:p w14:paraId="50B43F18">
      <w:pPr>
        <w:numPr>
          <w:ilvl w:val="0"/>
          <w:numId w:val="4"/>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14:paraId="3222DD77">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D942F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4E5CE20A">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AB7BB35">
      <w:pPr>
        <w:spacing w:line="560" w:lineRule="exact"/>
        <w:jc w:val="both"/>
        <w:rPr>
          <w:rFonts w:hint="eastAsia" w:ascii="方正小标宋简体" w:eastAsia="方正小标宋简体"/>
          <w:color w:val="000000"/>
          <w:sz w:val="36"/>
          <w:szCs w:val="36"/>
          <w:u w:val="none"/>
        </w:rPr>
      </w:pPr>
    </w:p>
    <w:p w14:paraId="12B778CD">
      <w:pPr>
        <w:spacing w:line="560" w:lineRule="exact"/>
        <w:jc w:val="center"/>
        <w:rPr>
          <w:rFonts w:hint="eastAsia" w:ascii="方正小标宋简体" w:eastAsia="方正小标宋简体"/>
          <w:color w:val="000000"/>
          <w:sz w:val="36"/>
          <w:szCs w:val="36"/>
          <w:u w:val="none"/>
        </w:rPr>
      </w:pPr>
    </w:p>
    <w:p w14:paraId="148ACC9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4093B43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val="en-US" w:eastAsia="zh-CN"/>
        </w:rPr>
        <w:t>中关村高科技产业促进中心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23AF33"/>
    <w:multiLevelType w:val="singleLevel"/>
    <w:tmpl w:val="9B23AF33"/>
    <w:lvl w:ilvl="0" w:tentative="0">
      <w:start w:val="6"/>
      <w:numFmt w:val="chineseCounting"/>
      <w:suff w:val="nothing"/>
      <w:lvlText w:val="%1、"/>
      <w:lvlJc w:val="left"/>
      <w:rPr>
        <w:rFonts w:hint="eastAsia"/>
      </w:rPr>
    </w:lvl>
  </w:abstractNum>
  <w:abstractNum w:abstractNumId="1">
    <w:nsid w:val="FF2E9D19"/>
    <w:multiLevelType w:val="singleLevel"/>
    <w:tmpl w:val="FF2E9D19"/>
    <w:lvl w:ilvl="0" w:tentative="0">
      <w:start w:val="3"/>
      <w:numFmt w:val="chineseCounting"/>
      <w:suff w:val="nothing"/>
      <w:lvlText w:val="（%1）"/>
      <w:lvlJc w:val="left"/>
      <w:rPr>
        <w:rFonts w:hint="eastAsia"/>
      </w:rPr>
    </w:lvl>
  </w:abstractNum>
  <w:abstractNum w:abstractNumId="2">
    <w:nsid w:val="3567DDCB"/>
    <w:multiLevelType w:val="singleLevel"/>
    <w:tmpl w:val="3567DDCB"/>
    <w:lvl w:ilvl="0" w:tentative="0">
      <w:start w:val="2"/>
      <w:numFmt w:val="chineseCounting"/>
      <w:suff w:val="nothing"/>
      <w:lvlText w:val="（%1）"/>
      <w:lvlJc w:val="left"/>
      <w:rPr>
        <w:rFonts w:hint="eastAsia"/>
      </w:rPr>
    </w:lvl>
  </w:abstractNum>
  <w:abstractNum w:abstractNumId="3">
    <w:nsid w:val="40887CAF"/>
    <w:multiLevelType w:val="singleLevel"/>
    <w:tmpl w:val="40887CAF"/>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3586DD3"/>
    <w:rsid w:val="04270E39"/>
    <w:rsid w:val="0B066363"/>
    <w:rsid w:val="0B8B2650"/>
    <w:rsid w:val="0C874EE1"/>
    <w:rsid w:val="0E431F96"/>
    <w:rsid w:val="121A5CB9"/>
    <w:rsid w:val="14773EFA"/>
    <w:rsid w:val="18001862"/>
    <w:rsid w:val="1D3D7A47"/>
    <w:rsid w:val="22FC0050"/>
    <w:rsid w:val="25FC5726"/>
    <w:rsid w:val="274751D7"/>
    <w:rsid w:val="2AF13E81"/>
    <w:rsid w:val="2D483DC1"/>
    <w:rsid w:val="37506ECC"/>
    <w:rsid w:val="399E14F8"/>
    <w:rsid w:val="3D8F6B87"/>
    <w:rsid w:val="3E686071"/>
    <w:rsid w:val="3F4F65F3"/>
    <w:rsid w:val="40097205"/>
    <w:rsid w:val="4121369A"/>
    <w:rsid w:val="425B16C2"/>
    <w:rsid w:val="459D614F"/>
    <w:rsid w:val="526308B6"/>
    <w:rsid w:val="531D1302"/>
    <w:rsid w:val="53F460E9"/>
    <w:rsid w:val="542A1C17"/>
    <w:rsid w:val="59A00A55"/>
    <w:rsid w:val="5A200FE3"/>
    <w:rsid w:val="5D147594"/>
    <w:rsid w:val="63C05E4E"/>
    <w:rsid w:val="67D82F6B"/>
    <w:rsid w:val="6B231D5D"/>
    <w:rsid w:val="70F81D2B"/>
    <w:rsid w:val="724D1539"/>
    <w:rsid w:val="726B27E7"/>
    <w:rsid w:val="74BC3205"/>
    <w:rsid w:val="74E52DA8"/>
    <w:rsid w:val="76A04785"/>
    <w:rsid w:val="780D1F4C"/>
    <w:rsid w:val="7B5607AE"/>
    <w:rsid w:val="7CFB1F19"/>
    <w:rsid w:val="7D886B12"/>
    <w:rsid w:val="7E0B6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1878</Words>
  <Characters>2161</Characters>
  <Lines>0</Lines>
  <Paragraphs>0</Paragraphs>
  <TotalTime>0</TotalTime>
  <ScaleCrop>false</ScaleCrop>
  <LinksUpToDate>false</LinksUpToDate>
  <CharactersWithSpaces>2187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dcterms:modified xsi:type="dcterms:W3CDTF">2025-02-28T06:25:47Z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