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99146">
      <w:pPr>
        <w:spacing w:line="560" w:lineRule="exact"/>
        <w:jc w:val="center"/>
        <w:rPr>
          <w:rFonts w:hint="eastAsia" w:ascii="方正小标宋简体" w:eastAsia="方正小标宋简体"/>
          <w:color w:val="000000"/>
          <w:sz w:val="44"/>
          <w:szCs w:val="44"/>
          <w:u w:val="none"/>
        </w:rPr>
      </w:pPr>
      <w:bookmarkStart w:id="0" w:name="_GoBack"/>
      <w:bookmarkEnd w:id="0"/>
      <w:r>
        <w:rPr>
          <w:rFonts w:hint="eastAsia" w:ascii="方正小标宋简体" w:eastAsia="方正小标宋简体"/>
          <w:color w:val="000000"/>
          <w:sz w:val="44"/>
          <w:szCs w:val="44"/>
          <w:u w:val="none"/>
        </w:rPr>
        <w:t>北京国际科技合作中心（北京港澳台科技合作中心）</w:t>
      </w:r>
    </w:p>
    <w:p w14:paraId="687CB948">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14:paraId="56622D15">
      <w:pPr>
        <w:spacing w:line="240" w:lineRule="exact"/>
        <w:jc w:val="center"/>
        <w:rPr>
          <w:rFonts w:hint="eastAsia" w:ascii="方正小标宋简体" w:eastAsia="方正小标宋简体"/>
          <w:color w:val="000000"/>
          <w:sz w:val="32"/>
          <w:szCs w:val="32"/>
          <w:u w:val="none"/>
        </w:rPr>
      </w:pPr>
    </w:p>
    <w:p w14:paraId="32A65E52">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4A34C9B6">
      <w:pPr>
        <w:pStyle w:val="2"/>
        <w:rPr>
          <w:rFonts w:hint="default" w:ascii="Cambria" w:eastAsia="黑体"/>
          <w:color w:val="000000"/>
          <w:sz w:val="36"/>
          <w:szCs w:val="32"/>
        </w:rPr>
      </w:pPr>
    </w:p>
    <w:p w14:paraId="70DF9460">
      <w:pPr>
        <w:spacing w:line="240" w:lineRule="exact"/>
        <w:jc w:val="center"/>
        <w:rPr>
          <w:rFonts w:hint="eastAsia" w:ascii="方正小标宋简体" w:eastAsia="方正小标宋简体"/>
          <w:color w:val="000000"/>
          <w:sz w:val="32"/>
          <w:szCs w:val="32"/>
          <w:u w:val="none"/>
        </w:rPr>
      </w:pPr>
    </w:p>
    <w:p w14:paraId="5AA84C11">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14:paraId="737E4F1C">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04F26F6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739A486D">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25BA5C1C">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77E94F3E">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3BF16672">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3331AE66">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14:paraId="5DD59A2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3AD91B95">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14:paraId="680750D9">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411146EA">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14:paraId="206E2F31">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14:paraId="6AC511BC">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14:paraId="09493776">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14:paraId="643B0EFA">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14:paraId="1892E86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14:paraId="3FB903DF">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14:paraId="562FFAA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14:paraId="347E18A5">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14:paraId="502D4307">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14:paraId="10B423F4">
      <w:pPr>
        <w:spacing w:line="560" w:lineRule="exact"/>
        <w:jc w:val="center"/>
        <w:rPr>
          <w:rFonts w:hint="eastAsia" w:ascii="仿宋_GB2312" w:hAnsi="仿宋_GB2312" w:eastAsia="仿宋_GB2312" w:cs="仿宋_GB2312"/>
          <w:color w:val="000000"/>
          <w:sz w:val="36"/>
          <w:szCs w:val="36"/>
          <w:u w:val="none"/>
        </w:rPr>
      </w:pPr>
    </w:p>
    <w:p w14:paraId="04C0C418">
      <w:pPr>
        <w:spacing w:line="560" w:lineRule="exact"/>
        <w:jc w:val="center"/>
        <w:rPr>
          <w:rFonts w:hint="eastAsia" w:ascii="仿宋_GB2312" w:hAnsi="仿宋_GB2312" w:eastAsia="仿宋_GB2312" w:cs="仿宋_GB2312"/>
          <w:color w:val="000000"/>
          <w:sz w:val="36"/>
          <w:szCs w:val="36"/>
          <w:u w:val="none"/>
        </w:rPr>
      </w:pPr>
    </w:p>
    <w:p w14:paraId="2D81A124">
      <w:pPr>
        <w:spacing w:line="560" w:lineRule="exact"/>
        <w:jc w:val="center"/>
        <w:rPr>
          <w:rFonts w:hint="eastAsia" w:ascii="仿宋_GB2312" w:hAnsi="仿宋_GB2312" w:eastAsia="仿宋_GB2312" w:cs="仿宋_GB2312"/>
          <w:color w:val="000000"/>
          <w:sz w:val="36"/>
          <w:szCs w:val="36"/>
          <w:u w:val="none"/>
        </w:rPr>
      </w:pPr>
    </w:p>
    <w:p w14:paraId="0863E628">
      <w:pPr>
        <w:spacing w:line="560" w:lineRule="exact"/>
        <w:jc w:val="center"/>
        <w:rPr>
          <w:rFonts w:hint="eastAsia" w:ascii="仿宋_GB2312" w:hAnsi="仿宋_GB2312" w:eastAsia="仿宋_GB2312" w:cs="仿宋_GB2312"/>
          <w:color w:val="000000"/>
          <w:sz w:val="36"/>
          <w:szCs w:val="36"/>
          <w:u w:val="none"/>
        </w:rPr>
      </w:pPr>
    </w:p>
    <w:p w14:paraId="4CDC0EB2">
      <w:pPr>
        <w:spacing w:line="560" w:lineRule="exact"/>
        <w:jc w:val="center"/>
        <w:rPr>
          <w:rFonts w:hint="eastAsia" w:ascii="仿宋_GB2312" w:hAnsi="仿宋_GB2312" w:eastAsia="仿宋_GB2312" w:cs="仿宋_GB2312"/>
          <w:color w:val="000000"/>
          <w:sz w:val="36"/>
          <w:szCs w:val="36"/>
          <w:u w:val="none"/>
        </w:rPr>
      </w:pPr>
    </w:p>
    <w:p w14:paraId="5BA14ECB">
      <w:pPr>
        <w:spacing w:line="560" w:lineRule="exact"/>
        <w:jc w:val="center"/>
        <w:rPr>
          <w:rFonts w:hint="eastAsia" w:ascii="仿宋_GB2312" w:hAnsi="仿宋_GB2312" w:eastAsia="仿宋_GB2312" w:cs="仿宋_GB2312"/>
          <w:color w:val="000000"/>
          <w:sz w:val="36"/>
          <w:szCs w:val="36"/>
          <w:u w:val="none"/>
        </w:rPr>
      </w:pPr>
    </w:p>
    <w:p w14:paraId="730CF0F2">
      <w:pPr>
        <w:spacing w:line="560" w:lineRule="exact"/>
        <w:jc w:val="center"/>
        <w:rPr>
          <w:rFonts w:hint="eastAsia" w:ascii="方正小标宋简体" w:eastAsia="方正小标宋简体"/>
          <w:color w:val="000000"/>
          <w:sz w:val="36"/>
          <w:szCs w:val="36"/>
          <w:u w:val="none"/>
        </w:rPr>
      </w:pPr>
    </w:p>
    <w:p w14:paraId="587D6BCB">
      <w:pPr>
        <w:spacing w:line="560" w:lineRule="exact"/>
        <w:jc w:val="center"/>
        <w:rPr>
          <w:rFonts w:hint="eastAsia" w:ascii="方正小标宋简体" w:eastAsia="方正小标宋简体"/>
          <w:color w:val="000000"/>
          <w:sz w:val="36"/>
          <w:szCs w:val="36"/>
          <w:u w:val="none"/>
        </w:rPr>
      </w:pPr>
    </w:p>
    <w:p w14:paraId="5728EC39">
      <w:pPr>
        <w:spacing w:line="560" w:lineRule="exact"/>
        <w:jc w:val="center"/>
        <w:rPr>
          <w:rFonts w:hint="eastAsia" w:ascii="方正小标宋简体" w:eastAsia="方正小标宋简体"/>
          <w:color w:val="000000"/>
          <w:sz w:val="36"/>
          <w:szCs w:val="36"/>
          <w:u w:val="none"/>
        </w:rPr>
      </w:pPr>
    </w:p>
    <w:p w14:paraId="3EB0AE33">
      <w:pPr>
        <w:spacing w:line="560" w:lineRule="exact"/>
        <w:jc w:val="center"/>
        <w:rPr>
          <w:rFonts w:hint="eastAsia" w:ascii="方正小标宋简体" w:eastAsia="方正小标宋简体"/>
          <w:color w:val="000000"/>
          <w:sz w:val="36"/>
          <w:szCs w:val="36"/>
          <w:u w:val="none"/>
        </w:rPr>
      </w:pPr>
    </w:p>
    <w:p w14:paraId="2AAA1EF7">
      <w:pPr>
        <w:spacing w:line="560" w:lineRule="exact"/>
        <w:jc w:val="center"/>
        <w:rPr>
          <w:rFonts w:hint="eastAsia" w:ascii="方正小标宋简体" w:eastAsia="方正小标宋简体"/>
          <w:color w:val="000000"/>
          <w:sz w:val="36"/>
          <w:szCs w:val="36"/>
          <w:u w:val="none"/>
        </w:rPr>
      </w:pPr>
    </w:p>
    <w:p w14:paraId="54BC7C0A">
      <w:pPr>
        <w:spacing w:line="560" w:lineRule="exact"/>
        <w:jc w:val="center"/>
        <w:rPr>
          <w:rFonts w:hint="eastAsia" w:ascii="方正小标宋简体" w:eastAsia="方正小标宋简体"/>
          <w:color w:val="000000"/>
          <w:sz w:val="36"/>
          <w:szCs w:val="36"/>
          <w:u w:val="none"/>
        </w:rPr>
      </w:pPr>
    </w:p>
    <w:p w14:paraId="35A98698">
      <w:pPr>
        <w:spacing w:line="560" w:lineRule="exact"/>
        <w:jc w:val="center"/>
        <w:rPr>
          <w:rFonts w:hint="eastAsia" w:ascii="方正小标宋简体" w:eastAsia="方正小标宋简体"/>
          <w:color w:val="000000"/>
          <w:sz w:val="36"/>
          <w:szCs w:val="36"/>
          <w:u w:val="none"/>
        </w:rPr>
      </w:pPr>
    </w:p>
    <w:p w14:paraId="2AB41BE2">
      <w:pPr>
        <w:spacing w:line="560" w:lineRule="exact"/>
        <w:jc w:val="center"/>
        <w:rPr>
          <w:rFonts w:hint="eastAsia" w:ascii="方正小标宋简体" w:eastAsia="方正小标宋简体"/>
          <w:color w:val="000000"/>
          <w:sz w:val="36"/>
          <w:szCs w:val="36"/>
          <w:u w:val="none"/>
        </w:rPr>
      </w:pPr>
    </w:p>
    <w:p w14:paraId="2782A3C3">
      <w:pPr>
        <w:spacing w:line="560" w:lineRule="exact"/>
        <w:jc w:val="center"/>
        <w:rPr>
          <w:rFonts w:hint="eastAsia" w:ascii="方正小标宋简体" w:eastAsia="方正小标宋简体"/>
          <w:color w:val="000000"/>
          <w:sz w:val="36"/>
          <w:szCs w:val="36"/>
          <w:u w:val="none"/>
        </w:rPr>
      </w:pPr>
    </w:p>
    <w:p w14:paraId="19689F90">
      <w:pPr>
        <w:spacing w:line="560" w:lineRule="exact"/>
        <w:jc w:val="center"/>
        <w:rPr>
          <w:rFonts w:hint="eastAsia" w:ascii="方正小标宋简体" w:eastAsia="方正小标宋简体"/>
          <w:color w:val="000000"/>
          <w:sz w:val="36"/>
          <w:szCs w:val="36"/>
          <w:u w:val="none"/>
        </w:rPr>
      </w:pPr>
    </w:p>
    <w:p w14:paraId="18B16DBE">
      <w:pPr>
        <w:spacing w:line="560" w:lineRule="exact"/>
        <w:jc w:val="center"/>
        <w:rPr>
          <w:rFonts w:hint="eastAsia" w:ascii="方正小标宋简体" w:eastAsia="方正小标宋简体"/>
          <w:color w:val="000000"/>
          <w:sz w:val="36"/>
          <w:szCs w:val="36"/>
          <w:u w:val="none"/>
        </w:rPr>
      </w:pPr>
    </w:p>
    <w:p w14:paraId="31F7BAFB">
      <w:pPr>
        <w:spacing w:line="560" w:lineRule="exact"/>
        <w:jc w:val="center"/>
        <w:rPr>
          <w:rFonts w:hint="eastAsia" w:ascii="方正小标宋简体" w:eastAsia="方正小标宋简体"/>
          <w:color w:val="000000"/>
          <w:sz w:val="36"/>
          <w:szCs w:val="36"/>
          <w:u w:val="none"/>
        </w:rPr>
      </w:pPr>
    </w:p>
    <w:p w14:paraId="11B923D8">
      <w:pPr>
        <w:pStyle w:val="2"/>
        <w:rPr>
          <w:rFonts w:hint="eastAsia"/>
        </w:rPr>
      </w:pPr>
    </w:p>
    <w:p w14:paraId="7108FC93">
      <w:pPr>
        <w:rPr>
          <w:rFonts w:hint="eastAsia"/>
        </w:rPr>
      </w:pPr>
    </w:p>
    <w:p w14:paraId="0978DB61">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14:paraId="4C93BA9C">
      <w:pPr>
        <w:spacing w:line="360" w:lineRule="auto"/>
        <w:rPr>
          <w:rFonts w:hint="eastAsia" w:ascii="仿宋_GB2312" w:eastAsia="仿宋_GB2312"/>
          <w:color w:val="000000"/>
          <w:sz w:val="32"/>
          <w:szCs w:val="32"/>
          <w:u w:val="none"/>
        </w:rPr>
      </w:pPr>
    </w:p>
    <w:p w14:paraId="78E43950">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2E1C13F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5D467123">
      <w:pPr>
        <w:spacing w:line="560" w:lineRule="exact"/>
        <w:ind w:firstLine="640" w:firstLineChars="200"/>
        <w:rPr>
          <w:rFonts w:hint="eastAsia" w:ascii="仿宋_GB2312" w:eastAsia="仿宋_GB2312"/>
          <w:color w:val="auto"/>
          <w:sz w:val="32"/>
          <w:szCs w:val="32"/>
        </w:rPr>
      </w:pPr>
      <w:r>
        <w:rPr>
          <w:rFonts w:hint="eastAsia" w:ascii="仿宋_GB2312" w:eastAsia="仿宋_GB2312"/>
          <w:sz w:val="32"/>
          <w:szCs w:val="32"/>
        </w:rPr>
        <w:t>根据北京市编办《关于市科委、中关村管委会所属事业单位改革有关事项的批复》（京编委〔2021〕66号）文件，同意将北京技术交易促进中心更名为北京国际科技合作中心（北京港澳台科技合作中心）。主要职责：承担国际及港澳台科技合作有关规划政策研究、重大科技交往、科技合作、技术转移等事务性工作，承担驻海外联络处联络管理、重大科技会议和活动筹办等具体工作。</w:t>
      </w:r>
    </w:p>
    <w:p w14:paraId="53938103">
      <w:pPr>
        <w:numPr>
          <w:ilvl w:val="0"/>
          <w:numId w:val="1"/>
        </w:num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机构设置情况</w:t>
      </w:r>
    </w:p>
    <w:p w14:paraId="2E25A3B3">
      <w:pPr>
        <w:spacing w:line="56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北京国际科技合作中心（北京港澳台科技合作中心）</w:t>
      </w:r>
      <w:r>
        <w:rPr>
          <w:rFonts w:hint="eastAsia" w:ascii="仿宋_GB2312" w:hAnsi="Times New Roman" w:eastAsia="仿宋_GB2312"/>
          <w:color w:val="auto"/>
          <w:sz w:val="32"/>
          <w:szCs w:val="32"/>
        </w:rPr>
        <w:t>下设</w:t>
      </w:r>
      <w:r>
        <w:rPr>
          <w:rFonts w:hint="eastAsia" w:ascii="仿宋_GB2312" w:eastAsia="仿宋_GB2312"/>
          <w:color w:val="auto"/>
          <w:sz w:val="32"/>
          <w:szCs w:val="32"/>
        </w:rPr>
        <w:t>7个部门，分别</w:t>
      </w:r>
      <w:r>
        <w:rPr>
          <w:rFonts w:hint="eastAsia" w:ascii="仿宋_GB2312" w:eastAsia="仿宋_GB2312"/>
          <w:color w:val="auto"/>
          <w:sz w:val="32"/>
          <w:szCs w:val="32"/>
          <w:lang w:val="en-US" w:eastAsia="zh-CN"/>
        </w:rPr>
        <w:t>是</w:t>
      </w:r>
      <w:r>
        <w:rPr>
          <w:rFonts w:hint="eastAsia" w:ascii="仿宋_GB2312" w:eastAsia="仿宋_GB2312"/>
          <w:color w:val="auto"/>
          <w:sz w:val="32"/>
          <w:szCs w:val="32"/>
        </w:rPr>
        <w:t>国际组织部、创新服务部、欧美合作部、带路合作部、信息活动部、港澳台合作部、综合管理部</w:t>
      </w:r>
      <w:r>
        <w:rPr>
          <w:rFonts w:hint="eastAsia" w:ascii="仿宋_GB2312" w:hAnsi="Times New Roman" w:eastAsia="仿宋_GB2312"/>
          <w:color w:val="auto"/>
          <w:sz w:val="32"/>
          <w:szCs w:val="32"/>
        </w:rPr>
        <w:t>。</w:t>
      </w:r>
    </w:p>
    <w:p w14:paraId="28D848EB">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（三）人员</w:t>
      </w:r>
      <w:r>
        <w:rPr>
          <w:rFonts w:hint="eastAsia" w:ascii="楷体_GB2312" w:eastAsia="楷体_GB2312"/>
          <w:color w:val="auto"/>
          <w:sz w:val="32"/>
          <w:szCs w:val="32"/>
          <w:u w:val="none"/>
          <w:lang w:eastAsia="zh-CN"/>
        </w:rPr>
        <w:t>编制及实有</w:t>
      </w:r>
      <w:r>
        <w:rPr>
          <w:rFonts w:hint="eastAsia" w:ascii="楷体_GB2312" w:eastAsia="楷体_GB2312"/>
          <w:color w:val="auto"/>
          <w:sz w:val="32"/>
          <w:szCs w:val="32"/>
          <w:u w:val="none"/>
        </w:rPr>
        <w:t>情况</w:t>
      </w:r>
    </w:p>
    <w:p w14:paraId="3DCA2273">
      <w:p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rPr>
        <w:t>北京国际科技合作中心（北京港澳台科技合作中心）事业编制</w:t>
      </w:r>
      <w:r>
        <w:rPr>
          <w:rFonts w:hint="eastAsia" w:ascii="仿宋_GB2312" w:eastAsia="仿宋_GB2312"/>
          <w:color w:val="auto"/>
          <w:sz w:val="32"/>
          <w:szCs w:val="32"/>
          <w:lang w:eastAsia="zh-CN"/>
        </w:rPr>
        <w:t>5</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人，实有人数</w:t>
      </w:r>
      <w:r>
        <w:rPr>
          <w:rFonts w:hint="eastAsia" w:ascii="仿宋_GB2312" w:eastAsia="仿宋_GB2312"/>
          <w:color w:val="auto"/>
          <w:sz w:val="32"/>
          <w:szCs w:val="32"/>
          <w:lang w:eastAsia="zh-CN"/>
        </w:rPr>
        <w:t>3</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人</w:t>
      </w:r>
      <w:r>
        <w:rPr>
          <w:rFonts w:hint="eastAsia" w:ascii="仿宋_GB2312" w:eastAsia="仿宋_GB2312"/>
          <w:color w:val="auto"/>
          <w:sz w:val="32"/>
          <w:szCs w:val="32"/>
          <w:lang w:eastAsia="zh-CN"/>
        </w:rPr>
        <w:t>。</w:t>
      </w:r>
    </w:p>
    <w:p w14:paraId="182FF4E6">
      <w:pPr>
        <w:spacing w:line="560" w:lineRule="exact"/>
        <w:ind w:firstLine="640" w:firstLineChars="200"/>
        <w:rPr>
          <w:rFonts w:hint="eastAsia" w:ascii="仿宋_GB2312" w:eastAsia="仿宋_GB2312"/>
          <w:color w:val="FF0000"/>
          <w:sz w:val="32"/>
          <w:szCs w:val="32"/>
        </w:rPr>
      </w:pPr>
      <w:r>
        <w:rPr>
          <w:rFonts w:hint="eastAsia" w:ascii="仿宋_GB2312" w:eastAsia="仿宋_GB2312"/>
          <w:color w:val="auto"/>
          <w:sz w:val="32"/>
          <w:szCs w:val="32"/>
          <w:highlight w:val="none"/>
        </w:rPr>
        <w:t>离退休人员</w:t>
      </w:r>
      <w:r>
        <w:rPr>
          <w:rFonts w:hint="eastAsia" w:ascii="仿宋_GB2312" w:eastAsia="仿宋_GB2312"/>
          <w:color w:val="auto"/>
          <w:sz w:val="32"/>
          <w:szCs w:val="32"/>
          <w:lang w:eastAsia="zh-CN"/>
        </w:rPr>
        <w:t>1</w:t>
      </w:r>
      <w:r>
        <w:rPr>
          <w:rFonts w:hint="eastAsia" w:ascii="仿宋_GB2312" w:eastAsia="仿宋_GB2312"/>
          <w:color w:val="auto"/>
          <w:sz w:val="32"/>
          <w:szCs w:val="32"/>
          <w:lang w:val="en-US" w:eastAsia="zh-CN"/>
        </w:rPr>
        <w:t>5</w:t>
      </w:r>
      <w:r>
        <w:rPr>
          <w:rFonts w:hint="eastAsia" w:ascii="仿宋_GB2312" w:eastAsia="仿宋_GB2312"/>
          <w:color w:val="auto"/>
          <w:sz w:val="32"/>
          <w:szCs w:val="32"/>
          <w:highlight w:val="none"/>
        </w:rPr>
        <w:t>人，其中：离休</w:t>
      </w:r>
      <w:r>
        <w:rPr>
          <w:rFonts w:hint="eastAsia" w:ascii="仿宋_GB2312" w:eastAsia="仿宋_GB2312"/>
          <w:color w:val="auto"/>
          <w:sz w:val="32"/>
          <w:szCs w:val="32"/>
          <w:lang w:eastAsia="zh-CN"/>
        </w:rPr>
        <w:t>0</w:t>
      </w:r>
      <w:r>
        <w:rPr>
          <w:rFonts w:hint="eastAsia" w:ascii="仿宋_GB2312" w:eastAsia="仿宋_GB2312"/>
          <w:color w:val="auto"/>
          <w:sz w:val="32"/>
          <w:szCs w:val="32"/>
          <w:highlight w:val="none"/>
        </w:rPr>
        <w:t>人，退休</w:t>
      </w:r>
      <w:r>
        <w:rPr>
          <w:rFonts w:hint="eastAsia" w:ascii="仿宋_GB2312" w:eastAsia="仿宋_GB2312"/>
          <w:color w:val="auto"/>
          <w:sz w:val="32"/>
          <w:szCs w:val="32"/>
          <w:lang w:eastAsia="zh-CN"/>
        </w:rPr>
        <w:t>1</w:t>
      </w:r>
      <w:r>
        <w:rPr>
          <w:rFonts w:hint="eastAsia" w:ascii="仿宋_GB2312" w:eastAsia="仿宋_GB2312"/>
          <w:color w:val="auto"/>
          <w:sz w:val="32"/>
          <w:szCs w:val="32"/>
          <w:lang w:val="en-US" w:eastAsia="zh-CN"/>
        </w:rPr>
        <w:t>5</w:t>
      </w:r>
      <w:r>
        <w:rPr>
          <w:rFonts w:hint="eastAsia" w:ascii="仿宋_GB2312" w:eastAsia="仿宋_GB2312"/>
          <w:color w:val="auto"/>
          <w:sz w:val="32"/>
          <w:szCs w:val="32"/>
          <w:highlight w:val="none"/>
        </w:rPr>
        <w:t>人。</w:t>
      </w:r>
    </w:p>
    <w:p w14:paraId="2A307834">
      <w:pPr>
        <w:numPr>
          <w:ilvl w:val="0"/>
          <w:numId w:val="2"/>
        </w:num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14:paraId="796D3FBD">
      <w:pPr>
        <w:spacing w:line="560" w:lineRule="exact"/>
        <w:ind w:firstLine="640" w:firstLineChars="200"/>
        <w:jc w:val="both"/>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2025年度收入预算</w:t>
      </w:r>
      <w:r>
        <w:rPr>
          <w:rFonts w:hint="eastAsia" w:ascii="仿宋_GB2312" w:eastAsia="仿宋_GB2312"/>
          <w:color w:val="auto"/>
          <w:sz w:val="32"/>
          <w:szCs w:val="32"/>
          <w:lang w:eastAsia="zh-CN"/>
        </w:rPr>
        <w:t>2,312.30万元，比2024年年初预算数2,236.6</w:t>
      </w:r>
      <w:r>
        <w:rPr>
          <w:rFonts w:hint="default" w:ascii="仿宋_GB2312" w:eastAsia="仿宋_GB2312"/>
          <w:color w:val="auto"/>
          <w:sz w:val="32"/>
          <w:szCs w:val="32"/>
          <w:lang w:val="en-US" w:eastAsia="zh-CN"/>
        </w:rPr>
        <w:t>6</w:t>
      </w:r>
      <w:r>
        <w:rPr>
          <w:rFonts w:hint="eastAsia" w:ascii="仿宋_GB2312" w:eastAsia="仿宋_GB2312"/>
          <w:color w:val="auto"/>
          <w:sz w:val="32"/>
          <w:szCs w:val="32"/>
          <w:lang w:eastAsia="zh-CN"/>
        </w:rPr>
        <w:t>万元增加75.6</w:t>
      </w:r>
      <w:r>
        <w:rPr>
          <w:rFonts w:hint="default" w:ascii="仿宋_GB2312" w:eastAsia="仿宋_GB2312"/>
          <w:color w:val="auto"/>
          <w:sz w:val="32"/>
          <w:szCs w:val="32"/>
          <w:lang w:val="en-US" w:eastAsia="zh-CN"/>
        </w:rPr>
        <w:t>4</w:t>
      </w:r>
      <w:r>
        <w:rPr>
          <w:rFonts w:hint="eastAsia" w:ascii="仿宋_GB2312" w:eastAsia="仿宋_GB2312"/>
          <w:color w:val="auto"/>
          <w:sz w:val="32"/>
          <w:szCs w:val="32"/>
          <w:lang w:eastAsia="zh-CN"/>
        </w:rPr>
        <w:t>万元，增长3.38%。主要原因是按照全口径预算管理要求，为进一步加强非财政拨款资金管理，</w:t>
      </w:r>
      <w:r>
        <w:rPr>
          <w:rFonts w:hint="eastAsia" w:ascii="仿宋_GB2312" w:eastAsia="仿宋_GB2312"/>
          <w:color w:val="auto"/>
          <w:sz w:val="32"/>
          <w:szCs w:val="32"/>
          <w:lang w:val="en-US" w:eastAsia="zh-CN"/>
        </w:rPr>
        <w:t>本单位</w:t>
      </w:r>
      <w:r>
        <w:rPr>
          <w:rFonts w:hint="eastAsia" w:ascii="仿宋_GB2312" w:eastAsia="仿宋_GB2312"/>
          <w:color w:val="auto"/>
          <w:sz w:val="32"/>
          <w:szCs w:val="32"/>
          <w:lang w:eastAsia="zh-CN"/>
        </w:rPr>
        <w:t>将所有非财政拨款资金全部纳入年度预算管理。</w:t>
      </w:r>
    </w:p>
    <w:p w14:paraId="44918C9A">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本年财政拨款收入2,082.13万元</w:t>
      </w:r>
    </w:p>
    <w:p w14:paraId="1982A66C">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_GB2312" w:eastAsia="仿宋_GB2312" w:cs="Droid Sans"/>
          <w:color w:val="auto"/>
          <w:sz w:val="32"/>
          <w:szCs w:val="32"/>
          <w:u w:val="none"/>
        </w:rPr>
        <w:t>2,082.13万元。</w:t>
      </w:r>
    </w:p>
    <w:p w14:paraId="28445C72">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574E04D1">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62AB2333">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0.00</w:t>
      </w:r>
      <w:r>
        <w:rPr>
          <w:rFonts w:hint="eastAsia" w:ascii="楷体_GB2312" w:eastAsia="楷体_GB2312" w:cs="Droid Sans"/>
          <w:color w:val="auto"/>
          <w:sz w:val="32"/>
          <w:szCs w:val="32"/>
          <w:u w:val="none"/>
          <w:lang w:eastAsia="zh-CN"/>
        </w:rPr>
        <w:t>万元</w:t>
      </w:r>
    </w:p>
    <w:p w14:paraId="7F46F205">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4.财政专户管理资金收入0.00</w:t>
      </w:r>
      <w:r>
        <w:rPr>
          <w:rFonts w:hint="eastAsia" w:ascii="仿宋_GB2312" w:eastAsia="仿宋_GB2312" w:cs="Droid Sans"/>
          <w:color w:val="auto"/>
          <w:sz w:val="32"/>
          <w:szCs w:val="32"/>
          <w:u w:val="none"/>
        </w:rPr>
        <w:t>万元。</w:t>
      </w:r>
    </w:p>
    <w:p w14:paraId="39813452">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5.事业收入0.00</w:t>
      </w:r>
      <w:r>
        <w:rPr>
          <w:rFonts w:hint="eastAsia" w:ascii="仿宋_GB2312" w:eastAsia="仿宋_GB2312" w:cs="Droid Sans"/>
          <w:color w:val="auto"/>
          <w:sz w:val="32"/>
          <w:szCs w:val="32"/>
          <w:u w:val="none"/>
        </w:rPr>
        <w:t>万元。</w:t>
      </w:r>
    </w:p>
    <w:p w14:paraId="372A158C">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6.上级补助收入0.00</w:t>
      </w:r>
      <w:r>
        <w:rPr>
          <w:rFonts w:hint="eastAsia" w:ascii="仿宋_GB2312" w:eastAsia="仿宋_GB2312" w:cs="Droid Sans"/>
          <w:color w:val="auto"/>
          <w:sz w:val="32"/>
          <w:szCs w:val="32"/>
          <w:u w:val="none"/>
        </w:rPr>
        <w:t>万元。</w:t>
      </w:r>
    </w:p>
    <w:p w14:paraId="46549A7B">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7.附属单位上缴收入0.00</w:t>
      </w:r>
      <w:r>
        <w:rPr>
          <w:rFonts w:hint="eastAsia" w:ascii="仿宋_GB2312" w:eastAsia="仿宋_GB2312" w:cs="Droid Sans"/>
          <w:color w:val="auto"/>
          <w:sz w:val="32"/>
          <w:szCs w:val="32"/>
          <w:u w:val="none"/>
        </w:rPr>
        <w:t>万元。</w:t>
      </w:r>
    </w:p>
    <w:p w14:paraId="07584343">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8.事业单位经营收入0.00</w:t>
      </w:r>
      <w:r>
        <w:rPr>
          <w:rFonts w:hint="eastAsia" w:ascii="仿宋_GB2312" w:eastAsia="仿宋_GB2312" w:cs="Droid Sans"/>
          <w:color w:val="auto"/>
          <w:sz w:val="32"/>
          <w:szCs w:val="32"/>
          <w:u w:val="none"/>
        </w:rPr>
        <w:t>万元。</w:t>
      </w:r>
    </w:p>
    <w:p w14:paraId="20EF2C6C">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9.其他收入0.00</w:t>
      </w:r>
      <w:r>
        <w:rPr>
          <w:rFonts w:hint="eastAsia" w:ascii="仿宋_GB2312" w:eastAsia="仿宋_GB2312" w:cs="Droid Sans"/>
          <w:color w:val="auto"/>
          <w:sz w:val="32"/>
          <w:szCs w:val="32"/>
          <w:u w:val="none"/>
        </w:rPr>
        <w:t>万元。</w:t>
      </w:r>
    </w:p>
    <w:p w14:paraId="192151CA">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eastAsia="zh-CN"/>
        </w:rPr>
        <w:t>230.16万元</w:t>
      </w:r>
    </w:p>
    <w:p w14:paraId="61AD8D50">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rPr>
        <w:t>230.16万元。</w:t>
      </w:r>
    </w:p>
    <w:p w14:paraId="1A382BCF">
      <w:pPr>
        <w:pStyle w:val="2"/>
        <w:jc w:val="left"/>
        <w:rPr>
          <w:u w:val="none"/>
        </w:rPr>
      </w:pPr>
      <w:r>
        <w:rPr>
          <w:rFonts w:hint="eastAsia" w:ascii="仿宋_GB2312" w:eastAsia="仿宋_GB2312"/>
          <w:color w:val="auto"/>
          <w:sz w:val="32"/>
          <w:szCs w:val="32"/>
          <w:u w:val="none"/>
          <w:lang w:val="en-US" w:eastAsia="zh-CN"/>
        </w:rPr>
        <w:drawing>
          <wp:inline distT="0" distB="0" distL="114300" distR="114300">
            <wp:extent cx="4841875" cy="2717800"/>
            <wp:effectExtent l="0" t="0" r="15875" b="6350"/>
            <wp:docPr id="4" name="图表 4"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4EB0F6ED">
      <w:pPr>
        <w:pStyle w:val="2"/>
        <w:jc w:val="center"/>
        <w:rPr>
          <w:rFonts w:hint="eastAsia"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图1：收入预算</w:t>
      </w:r>
    </w:p>
    <w:p w14:paraId="121A3A57">
      <w:pPr>
        <w:rPr>
          <w:rFonts w:hint="default"/>
          <w:lang w:val="en-US" w:eastAsia="zh-CN"/>
        </w:rPr>
      </w:pPr>
    </w:p>
    <w:p w14:paraId="5721869F">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14:paraId="03509587">
      <w:pPr>
        <w:spacing w:line="560" w:lineRule="exact"/>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val="en-US" w:eastAsia="zh-CN"/>
        </w:rPr>
        <w:t>2,246.33</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2,236.6</w:t>
      </w:r>
      <w:r>
        <w:rPr>
          <w:rFonts w:hint="default" w:ascii="仿宋_GB2312" w:eastAsia="仿宋_GB2312"/>
          <w:color w:val="auto"/>
          <w:sz w:val="32"/>
          <w:szCs w:val="32"/>
          <w:u w:val="none"/>
          <w:lang w:val="en-US" w:eastAsia="zh-CN"/>
        </w:rPr>
        <w:t>6</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9.6</w:t>
      </w:r>
      <w:r>
        <w:rPr>
          <w:rFonts w:hint="default" w:ascii="仿宋_GB2312" w:eastAsia="仿宋_GB2312"/>
          <w:color w:val="auto"/>
          <w:sz w:val="32"/>
          <w:szCs w:val="32"/>
          <w:u w:val="none"/>
          <w:lang w:val="en-US" w:eastAsia="zh-CN"/>
        </w:rPr>
        <w:t>7</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0.43</w:t>
      </w:r>
      <w:r>
        <w:rPr>
          <w:rFonts w:hint="eastAsia" w:ascii="仿宋_GB2312" w:eastAsia="仿宋_GB2312"/>
          <w:color w:val="auto"/>
          <w:sz w:val="32"/>
          <w:szCs w:val="32"/>
          <w:u w:val="none"/>
        </w:rPr>
        <w:t>%。</w:t>
      </w:r>
      <w:r>
        <w:rPr>
          <w:rFonts w:hint="eastAsia" w:ascii="仿宋_GB2312" w:eastAsia="仿宋_GB2312"/>
          <w:color w:val="auto"/>
          <w:sz w:val="32"/>
          <w:szCs w:val="32"/>
          <w:highlight w:val="none"/>
          <w:u w:val="none"/>
          <w:lang w:eastAsia="zh-CN"/>
        </w:rPr>
        <w:t>主要原因是</w:t>
      </w:r>
      <w:r>
        <w:rPr>
          <w:rFonts w:hint="eastAsia" w:ascii="仿宋_GB2312" w:eastAsia="仿宋_GB2312"/>
          <w:color w:val="auto"/>
          <w:sz w:val="32"/>
          <w:szCs w:val="32"/>
          <w:highlight w:val="none"/>
          <w:u w:val="none"/>
          <w:lang w:val="en-US" w:eastAsia="zh-CN"/>
        </w:rPr>
        <w:t>根据工作安排，2024年度公务用车购置等项目已完成，2025年</w:t>
      </w:r>
      <w:r>
        <w:rPr>
          <w:rFonts w:hint="eastAsia" w:ascii="仿宋_GB2312" w:eastAsia="仿宋_GB2312"/>
          <w:sz w:val="32"/>
          <w:szCs w:val="32"/>
        </w:rPr>
        <w:t>度不再安排</w:t>
      </w:r>
      <w:r>
        <w:rPr>
          <w:rFonts w:hint="eastAsia" w:ascii="仿宋_GB2312" w:eastAsia="仿宋_GB2312"/>
          <w:sz w:val="32"/>
          <w:szCs w:val="32"/>
          <w:lang w:val="en-US" w:eastAsia="zh-CN"/>
        </w:rPr>
        <w:t>相关</w:t>
      </w:r>
      <w:r>
        <w:rPr>
          <w:rFonts w:hint="eastAsia" w:ascii="仿宋_GB2312" w:eastAsia="仿宋_GB2312"/>
          <w:sz w:val="32"/>
          <w:szCs w:val="32"/>
        </w:rPr>
        <w:t>预算。</w:t>
      </w:r>
    </w:p>
    <w:p w14:paraId="236F7D27">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1,661.15</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支出预算73.95%，</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1,625.40万元增加35.75万元，增长</w:t>
      </w:r>
      <w:r>
        <w:rPr>
          <w:rFonts w:hint="eastAsia" w:ascii="仿宋_GB2312" w:eastAsia="仿宋_GB2312"/>
          <w:color w:val="auto"/>
          <w:sz w:val="32"/>
          <w:szCs w:val="32"/>
          <w:u w:val="none"/>
          <w:lang w:eastAsia="zh-CN"/>
        </w:rPr>
        <w:t>2.20</w:t>
      </w:r>
      <w:r>
        <w:rPr>
          <w:rFonts w:hint="eastAsia" w:ascii="仿宋_GB2312" w:eastAsia="仿宋_GB2312"/>
          <w:color w:val="auto"/>
          <w:sz w:val="32"/>
          <w:szCs w:val="32"/>
          <w:u w:val="none"/>
        </w:rPr>
        <w:t>%。</w:t>
      </w:r>
    </w:p>
    <w:p w14:paraId="3681B0F1">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项目支出预算585.18万元，比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rPr>
        <w:t>611.2</w:t>
      </w:r>
      <w:r>
        <w:rPr>
          <w:rFonts w:hint="default" w:ascii="仿宋_GB2312" w:eastAsia="仿宋_GB2312"/>
          <w:color w:val="auto"/>
          <w:sz w:val="32"/>
          <w:szCs w:val="32"/>
          <w:u w:val="none"/>
          <w:lang w:val="en-US" w:eastAsia="zh-CN"/>
        </w:rPr>
        <w:t>6</w:t>
      </w:r>
      <w:r>
        <w:rPr>
          <w:rFonts w:hint="eastAsia" w:ascii="仿宋_GB2312" w:eastAsia="仿宋_GB2312"/>
          <w:color w:val="auto"/>
          <w:sz w:val="32"/>
          <w:szCs w:val="32"/>
          <w:u w:val="none"/>
        </w:rPr>
        <w:t>万元减少26.0</w:t>
      </w:r>
      <w:r>
        <w:rPr>
          <w:rFonts w:hint="default" w:ascii="仿宋_GB2312" w:eastAsia="仿宋_GB2312"/>
          <w:color w:val="auto"/>
          <w:sz w:val="32"/>
          <w:szCs w:val="32"/>
          <w:u w:val="none"/>
          <w:lang w:val="en-US" w:eastAsia="zh-CN"/>
        </w:rPr>
        <w:t>8</w:t>
      </w:r>
      <w:r>
        <w:rPr>
          <w:rFonts w:hint="eastAsia" w:ascii="仿宋_GB2312" w:eastAsia="仿宋_GB2312"/>
          <w:color w:val="auto"/>
          <w:sz w:val="32"/>
          <w:szCs w:val="32"/>
          <w:u w:val="none"/>
        </w:rPr>
        <w:t>万元，下降4.27%。其中：</w:t>
      </w:r>
    </w:p>
    <w:p w14:paraId="10993317">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CE97FA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2FB9BE09">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0.00</w:t>
      </w:r>
      <w:r>
        <w:rPr>
          <w:rFonts w:hint="eastAsia" w:ascii="仿宋_GB2312" w:eastAsia="仿宋_GB2312" w:cs="Droid Sans"/>
          <w:color w:val="auto"/>
          <w:sz w:val="32"/>
          <w:szCs w:val="32"/>
          <w:u w:val="none"/>
        </w:rPr>
        <w:t>万元。</w:t>
      </w:r>
    </w:p>
    <w:p w14:paraId="36E3C626">
      <w:pPr>
        <w:pStyle w:val="2"/>
        <w:ind w:firstLine="0"/>
        <w:jc w:val="both"/>
        <w:rPr>
          <w:color w:val="auto"/>
          <w:u w:val="none"/>
        </w:rPr>
      </w:pPr>
      <w:r>
        <w:rPr>
          <w:rFonts w:hint="eastAsia" w:ascii="仿宋_GB2312" w:eastAsia="仿宋_GB2312" w:cs="Droid Sans"/>
          <w:color w:val="auto"/>
          <w:sz w:val="32"/>
          <w:szCs w:val="32"/>
          <w:u w:val="none"/>
          <w:lang w:eastAsia="zh-CN"/>
        </w:rPr>
        <w:drawing>
          <wp:inline distT="0" distB="0" distL="114300" distR="114300">
            <wp:extent cx="4818380" cy="2327275"/>
            <wp:effectExtent l="0" t="0" r="1270" b="15875"/>
            <wp:docPr id="6" name="图表 6"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342D359">
      <w:pPr>
        <w:pStyle w:val="2"/>
        <w:ind w:firstLine="642"/>
        <w:jc w:val="center"/>
        <w:rPr>
          <w:rFonts w:hint="default"/>
          <w:lang w:eastAsia="zh-CN"/>
        </w:rPr>
      </w:pPr>
      <w:r>
        <w:rPr>
          <w:rFonts w:hint="eastAsia" w:ascii="仿宋_GB2312" w:eastAsia="仿宋_GB2312"/>
          <w:color w:val="auto"/>
          <w:sz w:val="32"/>
          <w:szCs w:val="32"/>
          <w:highlight w:val="none"/>
          <w:u w:val="none"/>
          <w:lang w:val="en-US" w:eastAsia="zh-CN"/>
        </w:rPr>
        <w:t>图2：基本支出和项目支出情况</w:t>
      </w:r>
    </w:p>
    <w:p w14:paraId="65DCC9A6">
      <w:pPr>
        <w:numPr>
          <w:ilvl w:val="0"/>
          <w:numId w:val="3"/>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w:t>
      </w:r>
      <w:r>
        <w:rPr>
          <w:rFonts w:hint="eastAsia" w:ascii="楷体_GB2312" w:hAnsi="楷体_GB2312" w:eastAsia="楷体_GB2312" w:cs="楷体_GB2312"/>
          <w:color w:val="000000"/>
          <w:sz w:val="32"/>
          <w:szCs w:val="32"/>
          <w:highlight w:val="none"/>
          <w:u w:val="none"/>
        </w:rPr>
        <w:t>65.97</w:t>
      </w:r>
      <w:r>
        <w:rPr>
          <w:rFonts w:hint="eastAsia" w:ascii="楷体_GB2312" w:hAnsi="楷体_GB2312" w:eastAsia="楷体_GB2312" w:cs="楷体_GB2312"/>
          <w:color w:val="000000"/>
          <w:sz w:val="32"/>
          <w:szCs w:val="32"/>
          <w:highlight w:val="none"/>
          <w:u w:val="none"/>
          <w:lang w:eastAsia="zh-CN"/>
        </w:rPr>
        <w:t>万元。</w:t>
      </w:r>
    </w:p>
    <w:p w14:paraId="5F84549E">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14:paraId="7FB9F1E1">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s="Droid Sans"/>
          <w:color w:val="auto"/>
          <w:sz w:val="32"/>
          <w:szCs w:val="32"/>
          <w:u w:val="none"/>
        </w:rPr>
        <w:t>本</w:t>
      </w:r>
      <w:r>
        <w:rPr>
          <w:rFonts w:hint="eastAsia" w:ascii="仿宋_GB2312" w:eastAsia="仿宋_GB2312" w:cs="Droid Sans"/>
          <w:color w:val="auto"/>
          <w:sz w:val="32"/>
          <w:szCs w:val="32"/>
          <w:u w:val="none"/>
          <w:lang w:eastAsia="zh-CN"/>
        </w:rPr>
        <w:t>单位2025年</w:t>
      </w:r>
      <w:r>
        <w:rPr>
          <w:rFonts w:hint="eastAsia" w:ascii="仿宋_GB2312" w:eastAsia="仿宋_GB2312" w:cs="Droid Sans"/>
          <w:color w:val="auto"/>
          <w:sz w:val="32"/>
          <w:szCs w:val="32"/>
          <w:u w:val="none"/>
        </w:rPr>
        <w:t>无财政拨款安排的</w:t>
      </w:r>
      <w:r>
        <w:rPr>
          <w:rFonts w:hint="eastAsia" w:ascii="仿宋_GB2312" w:eastAsia="仿宋_GB2312" w:cs="Droid Sans"/>
          <w:color w:val="auto"/>
          <w:sz w:val="32"/>
          <w:szCs w:val="32"/>
          <w:u w:val="none"/>
          <w:lang w:eastAsia="zh-CN"/>
        </w:rPr>
        <w:t>“三公”经费预算</w:t>
      </w:r>
      <w:r>
        <w:rPr>
          <w:rFonts w:hint="eastAsia" w:ascii="仿宋_GB2312" w:eastAsia="仿宋_GB2312" w:cs="Droid Sans"/>
          <w:color w:val="auto"/>
          <w:sz w:val="32"/>
          <w:szCs w:val="32"/>
          <w:u w:val="none"/>
          <w:lang w:val="en-US" w:eastAsia="zh-CN"/>
        </w:rPr>
        <w:t>。</w:t>
      </w:r>
    </w:p>
    <w:p w14:paraId="4FF1A1E7">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14:paraId="135042FD">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14:paraId="6D5A7697">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北京国际科技合作中心（北京港澳台科技合作中心）政府采购预算总额201.39万元，其中：政府采购货物预算</w:t>
      </w:r>
      <w:r>
        <w:rPr>
          <w:rFonts w:hint="eastAsia" w:ascii="仿宋_GB2312" w:eastAsia="仿宋_GB2312"/>
          <w:color w:val="auto"/>
          <w:sz w:val="32"/>
          <w:szCs w:val="32"/>
          <w:u w:val="none"/>
          <w:lang w:val="en-US" w:eastAsia="zh-CN"/>
        </w:rPr>
        <w:t>1.21</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200.18</w:t>
      </w:r>
      <w:r>
        <w:rPr>
          <w:rFonts w:hint="eastAsia" w:ascii="仿宋_GB2312" w:eastAsia="仿宋_GB2312"/>
          <w:color w:val="auto"/>
          <w:sz w:val="32"/>
          <w:szCs w:val="32"/>
          <w:u w:val="none"/>
        </w:rPr>
        <w:t>万元。</w:t>
      </w:r>
    </w:p>
    <w:p w14:paraId="13B35290">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14:paraId="180BDDD9">
      <w:pPr>
        <w:spacing w:line="560" w:lineRule="exact"/>
        <w:ind w:firstLine="640" w:firstLineChars="200"/>
        <w:rPr>
          <w:rFonts w:hint="eastAsia" w:ascii="仿宋_GB2312" w:eastAsia="仿宋_GB2312"/>
          <w:color w:val="auto"/>
          <w:sz w:val="32"/>
          <w:szCs w:val="32"/>
          <w:u w:val="none"/>
          <w:lang w:eastAsia="zh-CN"/>
        </w:rPr>
      </w:pPr>
      <w:r>
        <w:rPr>
          <w:rStyle w:val="7"/>
          <w:rFonts w:ascii="仿宋_GB2312" w:hAnsi="宋体" w:eastAsia="仿宋_GB2312" w:cs="宋体"/>
          <w:color w:val="auto"/>
          <w:kern w:val="0"/>
          <w:sz w:val="32"/>
          <w:szCs w:val="32"/>
          <w:highlight w:val="none"/>
        </w:rPr>
        <w:t>本单位不属于政府购买服务购买主体</w:t>
      </w:r>
      <w:r>
        <w:rPr>
          <w:rStyle w:val="7"/>
          <w:rFonts w:hint="eastAsia" w:ascii="仿宋_GB2312" w:hAnsi="宋体" w:eastAsia="仿宋_GB2312" w:cs="宋体"/>
          <w:color w:val="auto"/>
          <w:kern w:val="0"/>
          <w:sz w:val="32"/>
          <w:szCs w:val="32"/>
          <w:highlight w:val="none"/>
          <w:lang w:eastAsia="zh-CN"/>
        </w:rPr>
        <w:t>。</w:t>
      </w:r>
    </w:p>
    <w:p w14:paraId="0E440A41">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14:paraId="66DAB557">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本</w:t>
      </w:r>
      <w:r>
        <w:rPr>
          <w:rFonts w:hint="eastAsia" w:ascii="仿宋_GB2312" w:hAnsi="Times New Roman" w:eastAsia="仿宋_GB2312" w:cs="Droid Sans"/>
          <w:color w:val="auto"/>
          <w:kern w:val="2"/>
          <w:sz w:val="32"/>
          <w:szCs w:val="32"/>
          <w:highlight w:val="none"/>
          <w:u w:val="none"/>
        </w:rPr>
        <w:t>单位不在机关运行经费统计范围之内。</w:t>
      </w:r>
    </w:p>
    <w:p w14:paraId="0CF9CC74">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14:paraId="2FEC8455">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，北京国际科技合作中心（北京港澳台科技合作中心）填报绩效目标的预算项目</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val="en-US" w:eastAsia="zh-CN"/>
        </w:rPr>
        <w:t>5</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%。填报绩效目标的项目支出预算585.18万元，占本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w:t>
      </w:r>
    </w:p>
    <w:p w14:paraId="2A630CF5">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14:paraId="038722E1">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14:paraId="713BB443">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14:paraId="42E91D8D">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14:paraId="5380C687">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14:paraId="446E0F56">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年底，北京国际科技合作中心（北京港澳台科技合作中心）共有车辆</w:t>
      </w:r>
      <w:r>
        <w:rPr>
          <w:rFonts w:hint="eastAsia" w:ascii="仿宋_GB2312" w:eastAsia="仿宋_GB2312"/>
          <w:color w:val="000000"/>
          <w:sz w:val="32"/>
          <w:szCs w:val="32"/>
          <w:u w:val="none"/>
          <w:lang w:val="en-US" w:eastAsia="zh-CN"/>
        </w:rPr>
        <w:t>1</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17.98</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2025年预算安排中，购置单位价值50万元以上的设备0台（套），共计0.00万元。</w:t>
      </w:r>
    </w:p>
    <w:p w14:paraId="734DCC8D">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14:paraId="3222DD7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16B7E316">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4043E10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7147B7A8">
      <w:pPr>
        <w:spacing w:line="560" w:lineRule="exact"/>
        <w:jc w:val="center"/>
        <w:rPr>
          <w:rFonts w:hint="eastAsia" w:ascii="方正小标宋简体" w:eastAsia="方正小标宋简体"/>
          <w:color w:val="000000"/>
          <w:sz w:val="36"/>
          <w:szCs w:val="36"/>
          <w:u w:val="none"/>
        </w:rPr>
      </w:pPr>
    </w:p>
    <w:p w14:paraId="573AF920">
      <w:pPr>
        <w:spacing w:line="560" w:lineRule="exact"/>
        <w:jc w:val="center"/>
        <w:rPr>
          <w:rFonts w:hint="eastAsia" w:ascii="方正小标宋简体" w:eastAsia="方正小标宋简体"/>
          <w:color w:val="000000"/>
          <w:sz w:val="36"/>
          <w:szCs w:val="36"/>
          <w:u w:val="none"/>
        </w:rPr>
      </w:pPr>
    </w:p>
    <w:p w14:paraId="0F6A19CB">
      <w:pPr>
        <w:spacing w:line="560" w:lineRule="exact"/>
        <w:jc w:val="center"/>
        <w:rPr>
          <w:rFonts w:hint="eastAsia" w:ascii="方正小标宋简体" w:eastAsia="方正小标宋简体"/>
          <w:color w:val="000000"/>
          <w:sz w:val="36"/>
          <w:szCs w:val="36"/>
          <w:u w:val="none"/>
        </w:rPr>
      </w:pPr>
    </w:p>
    <w:p w14:paraId="26E182B7">
      <w:pPr>
        <w:spacing w:line="560" w:lineRule="exact"/>
        <w:jc w:val="center"/>
        <w:rPr>
          <w:rFonts w:hint="eastAsia" w:ascii="方正小标宋简体" w:eastAsia="方正小标宋简体"/>
          <w:color w:val="000000"/>
          <w:sz w:val="36"/>
          <w:szCs w:val="36"/>
          <w:u w:val="none"/>
        </w:rPr>
      </w:pPr>
    </w:p>
    <w:p w14:paraId="555CEC04">
      <w:pPr>
        <w:spacing w:line="560" w:lineRule="exact"/>
        <w:jc w:val="center"/>
        <w:rPr>
          <w:rFonts w:hint="eastAsia" w:ascii="方正小标宋简体" w:eastAsia="方正小标宋简体"/>
          <w:color w:val="000000"/>
          <w:sz w:val="36"/>
          <w:szCs w:val="36"/>
          <w:u w:val="none"/>
        </w:rPr>
      </w:pPr>
    </w:p>
    <w:p w14:paraId="17C0A5EF">
      <w:pPr>
        <w:spacing w:line="560" w:lineRule="exact"/>
        <w:jc w:val="center"/>
        <w:rPr>
          <w:rFonts w:hint="eastAsia" w:ascii="方正小标宋简体" w:eastAsia="方正小标宋简体"/>
          <w:color w:val="000000"/>
          <w:sz w:val="36"/>
          <w:szCs w:val="36"/>
          <w:u w:val="none"/>
        </w:rPr>
      </w:pPr>
    </w:p>
    <w:p w14:paraId="7A84ED70">
      <w:pPr>
        <w:spacing w:line="560" w:lineRule="exact"/>
        <w:jc w:val="center"/>
        <w:rPr>
          <w:rFonts w:hint="eastAsia" w:ascii="方正小标宋简体" w:eastAsia="方正小标宋简体"/>
          <w:color w:val="000000"/>
          <w:sz w:val="36"/>
          <w:szCs w:val="36"/>
          <w:u w:val="none"/>
        </w:rPr>
      </w:pPr>
    </w:p>
    <w:p w14:paraId="2F155133">
      <w:pPr>
        <w:spacing w:line="560" w:lineRule="exact"/>
        <w:jc w:val="center"/>
        <w:rPr>
          <w:rFonts w:hint="eastAsia" w:ascii="方正小标宋简体" w:eastAsia="方正小标宋简体"/>
          <w:color w:val="000000"/>
          <w:sz w:val="36"/>
          <w:szCs w:val="36"/>
          <w:u w:val="none"/>
        </w:rPr>
      </w:pPr>
    </w:p>
    <w:p w14:paraId="2F94AC21">
      <w:pPr>
        <w:spacing w:line="560" w:lineRule="exact"/>
        <w:jc w:val="center"/>
        <w:rPr>
          <w:rFonts w:hint="eastAsia" w:ascii="方正小标宋简体" w:eastAsia="方正小标宋简体"/>
          <w:color w:val="000000"/>
          <w:sz w:val="36"/>
          <w:szCs w:val="36"/>
          <w:u w:val="none"/>
        </w:rPr>
      </w:pPr>
    </w:p>
    <w:p w14:paraId="625ACA66">
      <w:pPr>
        <w:spacing w:line="560" w:lineRule="exact"/>
        <w:jc w:val="center"/>
        <w:rPr>
          <w:rFonts w:hint="eastAsia" w:ascii="方正小标宋简体" w:eastAsia="方正小标宋简体"/>
          <w:color w:val="000000"/>
          <w:sz w:val="36"/>
          <w:szCs w:val="36"/>
          <w:u w:val="none"/>
        </w:rPr>
      </w:pPr>
    </w:p>
    <w:p w14:paraId="7424ABE2">
      <w:pPr>
        <w:spacing w:line="560" w:lineRule="exact"/>
        <w:jc w:val="center"/>
        <w:rPr>
          <w:rFonts w:hint="eastAsia" w:ascii="方正小标宋简体" w:eastAsia="方正小标宋简体"/>
          <w:color w:val="000000"/>
          <w:sz w:val="36"/>
          <w:szCs w:val="36"/>
          <w:u w:val="none"/>
        </w:rPr>
      </w:pPr>
    </w:p>
    <w:p w14:paraId="148ACC9D">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14:paraId="4093B431">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附件：北京国际科技合作中心（北京港澳台科技合作中心）</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14:paraId="37B346F7"/>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1A597">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4480EC0">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6F2F2D47">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3567DDCB"/>
    <w:multiLevelType w:val="singleLevel"/>
    <w:tmpl w:val="3567DDCB"/>
    <w:lvl w:ilvl="0" w:tentative="0">
      <w:start w:val="2"/>
      <w:numFmt w:val="chineseCounting"/>
      <w:suff w:val="nothing"/>
      <w:lvlText w:val="（%1）"/>
      <w:lvlJc w:val="left"/>
      <w:rPr>
        <w:rFonts w:hint="eastAsia"/>
      </w:rPr>
    </w:lvl>
  </w:abstractNum>
  <w:abstractNum w:abstractNumId="2">
    <w:nsid w:val="3DBE3514"/>
    <w:multiLevelType w:val="singleLevel"/>
    <w:tmpl w:val="3DBE3514"/>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31F96"/>
    <w:rsid w:val="02A350E3"/>
    <w:rsid w:val="06361158"/>
    <w:rsid w:val="08BF40AC"/>
    <w:rsid w:val="0A466446"/>
    <w:rsid w:val="0B7C39D1"/>
    <w:rsid w:val="0C874EE1"/>
    <w:rsid w:val="0E431F96"/>
    <w:rsid w:val="0F81623E"/>
    <w:rsid w:val="101A31A6"/>
    <w:rsid w:val="11071B80"/>
    <w:rsid w:val="121A5CB9"/>
    <w:rsid w:val="18CE5263"/>
    <w:rsid w:val="23F52C20"/>
    <w:rsid w:val="25FC5726"/>
    <w:rsid w:val="26BE72FA"/>
    <w:rsid w:val="27577AD5"/>
    <w:rsid w:val="27757A22"/>
    <w:rsid w:val="29DF614E"/>
    <w:rsid w:val="2A3C5105"/>
    <w:rsid w:val="2D483DC1"/>
    <w:rsid w:val="2E2C723F"/>
    <w:rsid w:val="2E8731B9"/>
    <w:rsid w:val="329571A5"/>
    <w:rsid w:val="37506ECC"/>
    <w:rsid w:val="3927491C"/>
    <w:rsid w:val="3DB22E49"/>
    <w:rsid w:val="3F4F65F3"/>
    <w:rsid w:val="3F712117"/>
    <w:rsid w:val="40097205"/>
    <w:rsid w:val="427444D1"/>
    <w:rsid w:val="459D614F"/>
    <w:rsid w:val="46F145C9"/>
    <w:rsid w:val="47262698"/>
    <w:rsid w:val="4E4A1656"/>
    <w:rsid w:val="4EE222C4"/>
    <w:rsid w:val="50A7458B"/>
    <w:rsid w:val="526308B6"/>
    <w:rsid w:val="531D1302"/>
    <w:rsid w:val="566B5FD6"/>
    <w:rsid w:val="5853628D"/>
    <w:rsid w:val="59A00A55"/>
    <w:rsid w:val="5A200FE3"/>
    <w:rsid w:val="5D147594"/>
    <w:rsid w:val="5FC31FB6"/>
    <w:rsid w:val="619176C3"/>
    <w:rsid w:val="622235A9"/>
    <w:rsid w:val="63780255"/>
    <w:rsid w:val="63C05E4E"/>
    <w:rsid w:val="65492BA3"/>
    <w:rsid w:val="66A04D47"/>
    <w:rsid w:val="67FD4B11"/>
    <w:rsid w:val="6B197F66"/>
    <w:rsid w:val="6BC404DB"/>
    <w:rsid w:val="6D9E74A4"/>
    <w:rsid w:val="6F90460E"/>
    <w:rsid w:val="70F81D2B"/>
    <w:rsid w:val="726B27E7"/>
    <w:rsid w:val="74C44178"/>
    <w:rsid w:val="75B30FC4"/>
    <w:rsid w:val="76E26EB4"/>
    <w:rsid w:val="77C3210C"/>
    <w:rsid w:val="78D86B8A"/>
    <w:rsid w:val="7A893979"/>
    <w:rsid w:val="7CFB1F19"/>
    <w:rsid w:val="7D886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cs="Droid Sans"/>
      <w:sz w:val="32"/>
      <w:szCs w:val="20"/>
      <w:lang w:bidi="ar-SA"/>
    </w:rPr>
  </w:style>
  <w:style w:type="paragraph" w:styleId="5">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仿宋_GB2312" panose="02010609030101010101" pitchFamily="3" charset="-122"/>
              <a:ea typeface="仿宋_GB2312" panose="02010609030101010101" pitchFamily="3" charset="-122"/>
              <a:cs typeface="仿宋_GB2312" panose="02010609030101010101" pitchFamily="3" charset="-122"/>
              <a:sym typeface="仿宋_GB2312" panose="02010609030101010101" pitchFamily="3" charset="-122"/>
            </a:defRPr>
          </a:pPr>
        </a:p>
      </c:txPr>
    </c:title>
    <c:autoTitleDeleted val="0"/>
    <c:plotArea>
      <c:layout/>
      <c:pieChart>
        <c:varyColors val="1"/>
        <c:ser>
          <c:idx val="0"/>
          <c:order val="0"/>
          <c:tx>
            <c:strRef>
              <c:f>Sheet1!$B$1</c:f>
              <c:strCache>
                <c:ptCount val="1"/>
                <c:pt idx="0">
                  <c:v>收入预算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一般公共预算拨款收入</c:v>
                </c:pt>
                <c:pt idx="1">
                  <c:v>上年结转结余</c:v>
                </c:pt>
              </c:strCache>
            </c:strRef>
          </c:cat>
          <c:val>
            <c:numRef>
              <c:f>Sheet1!$B$2:$B$3</c:f>
              <c:numCache>
                <c:formatCode>0.00%</c:formatCode>
                <c:ptCount val="2"/>
                <c:pt idx="0">
                  <c:v>0.9005</c:v>
                </c:pt>
                <c:pt idx="1">
                  <c:v>0.0995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7b09bfdc-42b2-4fc7-baf4-a1ecd98c666a}"/>
      </c:ext>
    </c:extLst>
  </c:chart>
  <c:spPr>
    <a:solidFill>
      <a:schemeClr val="bg1"/>
    </a:solidFill>
    <a:ln w="6350" cap="flat" cmpd="sng" algn="ctr">
      <a:noFill/>
      <a:round/>
    </a:ln>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列2</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0.7395</c:v>
                </c:pt>
                <c:pt idx="1">
                  <c:v>0.2605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673039ec-8e18-4de1-b8b8-6966ac14de7e}"/>
      </c:ext>
    </c:extLst>
  </c:chart>
  <c:spPr>
    <a:solidFill>
      <a:schemeClr val="bg1"/>
    </a:solidFill>
    <a:ln w="6350" cap="flat" cmpd="sng" algn="ctr">
      <a:noFill/>
      <a:prstDash val="solid"/>
      <a:round/>
    </a:ln>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1849</Words>
  <Characters>2125</Characters>
  <Lines>0</Lines>
  <Paragraphs>0</Paragraphs>
  <TotalTime>9</TotalTime>
  <ScaleCrop>false</ScaleCrop>
  <LinksUpToDate>false</LinksUpToDate>
  <CharactersWithSpaces>2151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2025-02-10T08:16:00Z</dcterms:created>
  <dc:creator>yd</dc:creator>
  <cp:lastModifiedBy>yd</cp:lastModifiedBy>
  <cp:lastPrinted>2025-02-11T09:14:00Z</cp:lastPrinted>
  <dcterms:modified xsi:type="dcterms:W3CDTF">2025-03-04T06:17:14Z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A0BFF7A80C764BC8B2101718B10854E3_13</vt:lpwstr>
  </property>
  <property fmtid="{D5CDD505-2E9C-101B-9397-08002B2CF9AE}" pid="4" name="KSOTemplateDocerSaveRecord">
    <vt:lpwstr>eyJoZGlkIjoiNjllMTQ1N2NiYWJhNmE3MmJmNjczYjE3MmE0Mzc5ZDEiLCJ1c2VySWQiOiIxMjgzMzY4NzkzIn0=</vt:lpwstr>
  </property>
</Properties>
</file>