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F6BA5E">
      <w:pPr>
        <w:spacing w:line="560" w:lineRule="exact"/>
        <w:jc w:val="center"/>
        <w:rPr>
          <w:rFonts w:hint="eastAsia" w:ascii="方正小标宋简体" w:eastAsia="方正小标宋简体"/>
          <w:color w:val="000000"/>
          <w:sz w:val="44"/>
          <w:szCs w:val="44"/>
        </w:rPr>
      </w:pPr>
      <w:bookmarkStart w:id="0" w:name="_GoBack"/>
      <w:bookmarkEnd w:id="0"/>
      <w:r>
        <w:rPr>
          <w:rFonts w:hint="eastAsia" w:ascii="方正小标宋简体" w:eastAsia="方正小标宋简体"/>
          <w:color w:val="000000"/>
          <w:sz w:val="44"/>
          <w:szCs w:val="44"/>
        </w:rPr>
        <w:t>北京科技成果转化服务中心</w:t>
      </w:r>
    </w:p>
    <w:p w14:paraId="59E41345">
      <w:pPr>
        <w:spacing w:line="56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2025年度单位预算信息公开</w:t>
      </w:r>
    </w:p>
    <w:p w14:paraId="0ACD7827">
      <w:pPr>
        <w:spacing w:line="240" w:lineRule="exact"/>
        <w:jc w:val="center"/>
        <w:rPr>
          <w:rFonts w:ascii="方正小标宋简体" w:eastAsia="方正小标宋简体"/>
          <w:color w:val="000000"/>
          <w:sz w:val="32"/>
          <w:szCs w:val="32"/>
        </w:rPr>
      </w:pPr>
    </w:p>
    <w:p w14:paraId="2287D08B">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14:paraId="686131FD">
      <w:pPr>
        <w:pStyle w:val="2"/>
        <w:rPr>
          <w:color w:val="000000"/>
        </w:rPr>
      </w:pPr>
    </w:p>
    <w:p w14:paraId="595419A3">
      <w:pPr>
        <w:spacing w:line="240" w:lineRule="exact"/>
        <w:jc w:val="center"/>
        <w:rPr>
          <w:rFonts w:ascii="方正小标宋简体" w:eastAsia="方正小标宋简体"/>
          <w:color w:val="000000"/>
          <w:sz w:val="32"/>
          <w:szCs w:val="32"/>
        </w:rPr>
      </w:pPr>
    </w:p>
    <w:p w14:paraId="7B5AF7E3">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2025年度单位预算情况说明</w:t>
      </w:r>
    </w:p>
    <w:p w14:paraId="36F26768">
      <w:pPr>
        <w:spacing w:line="560" w:lineRule="exact"/>
        <w:ind w:firstLine="640" w:firstLineChars="200"/>
        <w:rPr>
          <w:rFonts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14:paraId="02F1D7F8">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14:paraId="42309E76">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14:paraId="5FDEF607">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14:paraId="0F58E7E2">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14:paraId="252A3A5C">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14:paraId="6A2E72C2">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2025年度单位预算报表</w:t>
      </w:r>
    </w:p>
    <w:p w14:paraId="3327A4EF">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14:paraId="12713E3F">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14:paraId="561D9598">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14:paraId="6D5EC070">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14:paraId="5078C38C">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14:paraId="2AE328A6">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14:paraId="7321FAC0">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14:paraId="29DA2250">
      <w:pPr>
        <w:autoSpaceDE w:val="0"/>
        <w:autoSpaceDN w:val="0"/>
        <w:adjustRightInd w:val="0"/>
        <w:spacing w:line="560" w:lineRule="exact"/>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14:paraId="43AEE8CE">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14:paraId="6B2172C8">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14:paraId="7AC1EC80">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十一、财政拨款“三公”经费支出表</w:t>
      </w:r>
    </w:p>
    <w:p w14:paraId="0D9987C7">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十二、政府购买服务预算财政拨款明细表</w:t>
      </w:r>
    </w:p>
    <w:p w14:paraId="52F52CAA">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十三、项目支出绩效目标表</w:t>
      </w:r>
    </w:p>
    <w:p w14:paraId="10C5F19F">
      <w:pPr>
        <w:spacing w:line="560" w:lineRule="exact"/>
        <w:jc w:val="center"/>
        <w:rPr>
          <w:rFonts w:ascii="仿宋_GB2312" w:hAnsi="仿宋_GB2312" w:eastAsia="仿宋_GB2312" w:cs="仿宋_GB2312"/>
          <w:color w:val="000000"/>
          <w:sz w:val="36"/>
          <w:szCs w:val="36"/>
        </w:rPr>
      </w:pPr>
    </w:p>
    <w:p w14:paraId="0A875F18">
      <w:pPr>
        <w:spacing w:line="560" w:lineRule="exact"/>
        <w:jc w:val="center"/>
        <w:rPr>
          <w:rFonts w:ascii="仿宋_GB2312" w:hAnsi="仿宋_GB2312" w:eastAsia="仿宋_GB2312" w:cs="仿宋_GB2312"/>
          <w:color w:val="000000"/>
          <w:sz w:val="36"/>
          <w:szCs w:val="36"/>
        </w:rPr>
      </w:pPr>
    </w:p>
    <w:p w14:paraId="3452CCB2">
      <w:pPr>
        <w:spacing w:line="560" w:lineRule="exact"/>
        <w:jc w:val="center"/>
        <w:rPr>
          <w:rFonts w:ascii="仿宋_GB2312" w:hAnsi="仿宋_GB2312" w:eastAsia="仿宋_GB2312" w:cs="仿宋_GB2312"/>
          <w:color w:val="000000"/>
          <w:sz w:val="36"/>
          <w:szCs w:val="36"/>
        </w:rPr>
      </w:pPr>
    </w:p>
    <w:p w14:paraId="0828B2A8">
      <w:pPr>
        <w:spacing w:line="560" w:lineRule="exact"/>
        <w:jc w:val="center"/>
        <w:rPr>
          <w:rFonts w:ascii="仿宋_GB2312" w:hAnsi="仿宋_GB2312" w:eastAsia="仿宋_GB2312" w:cs="仿宋_GB2312"/>
          <w:color w:val="000000"/>
          <w:sz w:val="36"/>
          <w:szCs w:val="36"/>
        </w:rPr>
      </w:pPr>
    </w:p>
    <w:p w14:paraId="021D8837">
      <w:pPr>
        <w:spacing w:line="560" w:lineRule="exact"/>
        <w:jc w:val="center"/>
        <w:rPr>
          <w:rFonts w:ascii="仿宋_GB2312" w:hAnsi="仿宋_GB2312" w:eastAsia="仿宋_GB2312" w:cs="仿宋_GB2312"/>
          <w:color w:val="000000"/>
          <w:sz w:val="36"/>
          <w:szCs w:val="36"/>
        </w:rPr>
      </w:pPr>
    </w:p>
    <w:p w14:paraId="5A42887D">
      <w:pPr>
        <w:spacing w:line="560" w:lineRule="exact"/>
        <w:jc w:val="center"/>
        <w:rPr>
          <w:rFonts w:ascii="仿宋_GB2312" w:hAnsi="仿宋_GB2312" w:eastAsia="仿宋_GB2312" w:cs="仿宋_GB2312"/>
          <w:color w:val="000000"/>
          <w:sz w:val="36"/>
          <w:szCs w:val="36"/>
        </w:rPr>
      </w:pPr>
    </w:p>
    <w:p w14:paraId="70B614F3">
      <w:pPr>
        <w:spacing w:line="560" w:lineRule="exact"/>
        <w:jc w:val="center"/>
        <w:rPr>
          <w:rFonts w:ascii="仿宋_GB2312" w:hAnsi="仿宋_GB2312" w:eastAsia="仿宋_GB2312" w:cs="仿宋_GB2312"/>
          <w:color w:val="000000"/>
          <w:sz w:val="36"/>
          <w:szCs w:val="36"/>
        </w:rPr>
      </w:pPr>
    </w:p>
    <w:p w14:paraId="5B217158">
      <w:pPr>
        <w:spacing w:line="560" w:lineRule="exact"/>
        <w:jc w:val="center"/>
        <w:rPr>
          <w:rFonts w:ascii="方正小标宋简体" w:eastAsia="方正小标宋简体"/>
          <w:color w:val="000000"/>
          <w:sz w:val="36"/>
          <w:szCs w:val="36"/>
        </w:rPr>
      </w:pPr>
    </w:p>
    <w:p w14:paraId="084B90A2">
      <w:pPr>
        <w:spacing w:line="560" w:lineRule="exact"/>
        <w:jc w:val="center"/>
        <w:rPr>
          <w:rFonts w:ascii="方正小标宋简体" w:eastAsia="方正小标宋简体"/>
          <w:color w:val="000000"/>
          <w:sz w:val="36"/>
          <w:szCs w:val="36"/>
        </w:rPr>
      </w:pPr>
    </w:p>
    <w:p w14:paraId="754E4616">
      <w:pPr>
        <w:spacing w:line="560" w:lineRule="exact"/>
        <w:jc w:val="center"/>
        <w:rPr>
          <w:rFonts w:ascii="方正小标宋简体" w:eastAsia="方正小标宋简体"/>
          <w:color w:val="000000"/>
          <w:sz w:val="36"/>
          <w:szCs w:val="36"/>
        </w:rPr>
      </w:pPr>
    </w:p>
    <w:p w14:paraId="4C99DECC">
      <w:pPr>
        <w:spacing w:line="560" w:lineRule="exact"/>
        <w:jc w:val="center"/>
        <w:rPr>
          <w:rFonts w:ascii="方正小标宋简体" w:eastAsia="方正小标宋简体"/>
          <w:color w:val="000000"/>
          <w:sz w:val="36"/>
          <w:szCs w:val="36"/>
        </w:rPr>
      </w:pPr>
    </w:p>
    <w:p w14:paraId="26F92C08">
      <w:pPr>
        <w:spacing w:line="560" w:lineRule="exact"/>
        <w:jc w:val="center"/>
        <w:rPr>
          <w:rFonts w:ascii="方正小标宋简体" w:eastAsia="方正小标宋简体"/>
          <w:color w:val="000000"/>
          <w:sz w:val="36"/>
          <w:szCs w:val="36"/>
        </w:rPr>
      </w:pPr>
    </w:p>
    <w:p w14:paraId="0600DDF6">
      <w:pPr>
        <w:spacing w:line="560" w:lineRule="exact"/>
        <w:jc w:val="center"/>
        <w:rPr>
          <w:rFonts w:ascii="方正小标宋简体" w:eastAsia="方正小标宋简体"/>
          <w:color w:val="000000"/>
          <w:sz w:val="36"/>
          <w:szCs w:val="36"/>
        </w:rPr>
      </w:pPr>
    </w:p>
    <w:p w14:paraId="2193AF8F">
      <w:pPr>
        <w:spacing w:line="560" w:lineRule="exact"/>
        <w:jc w:val="center"/>
        <w:rPr>
          <w:rFonts w:ascii="方正小标宋简体" w:eastAsia="方正小标宋简体"/>
          <w:color w:val="000000"/>
          <w:sz w:val="36"/>
          <w:szCs w:val="36"/>
        </w:rPr>
      </w:pPr>
    </w:p>
    <w:p w14:paraId="445E49F1">
      <w:pPr>
        <w:spacing w:line="560" w:lineRule="exact"/>
        <w:jc w:val="center"/>
        <w:rPr>
          <w:rFonts w:ascii="方正小标宋简体" w:eastAsia="方正小标宋简体"/>
          <w:color w:val="000000"/>
          <w:sz w:val="36"/>
          <w:szCs w:val="36"/>
        </w:rPr>
      </w:pPr>
    </w:p>
    <w:p w14:paraId="4B746FE2">
      <w:pPr>
        <w:spacing w:line="560" w:lineRule="exact"/>
        <w:jc w:val="center"/>
        <w:rPr>
          <w:rFonts w:ascii="方正小标宋简体" w:eastAsia="方正小标宋简体"/>
          <w:color w:val="000000"/>
          <w:sz w:val="36"/>
          <w:szCs w:val="36"/>
        </w:rPr>
      </w:pPr>
    </w:p>
    <w:p w14:paraId="20AFE804">
      <w:pPr>
        <w:spacing w:line="560" w:lineRule="exact"/>
        <w:jc w:val="center"/>
        <w:rPr>
          <w:rFonts w:ascii="方正小标宋简体" w:eastAsia="方正小标宋简体"/>
          <w:color w:val="000000"/>
          <w:sz w:val="36"/>
          <w:szCs w:val="36"/>
        </w:rPr>
      </w:pPr>
    </w:p>
    <w:p w14:paraId="4CCDDBED">
      <w:pPr>
        <w:spacing w:line="560" w:lineRule="exact"/>
        <w:jc w:val="center"/>
        <w:rPr>
          <w:rFonts w:ascii="方正小标宋简体" w:eastAsia="方正小标宋简体"/>
          <w:color w:val="000000"/>
          <w:sz w:val="36"/>
          <w:szCs w:val="36"/>
        </w:rPr>
      </w:pPr>
    </w:p>
    <w:p w14:paraId="2C1B8525">
      <w:pPr>
        <w:spacing w:line="560" w:lineRule="exact"/>
        <w:jc w:val="center"/>
        <w:rPr>
          <w:rFonts w:ascii="方正小标宋简体" w:eastAsia="方正小标宋简体"/>
          <w:color w:val="000000"/>
          <w:sz w:val="36"/>
          <w:szCs w:val="36"/>
        </w:rPr>
      </w:pPr>
    </w:p>
    <w:p w14:paraId="22FADED6">
      <w:pPr>
        <w:pStyle w:val="2"/>
        <w:spacing w:before="0" w:beforeAutospacing="0" w:after="0" w:afterAutospacing="0"/>
      </w:pPr>
    </w:p>
    <w:p w14:paraId="3345EC82">
      <w:pPr>
        <w:spacing w:line="560" w:lineRule="exact"/>
        <w:jc w:val="center"/>
        <w:rPr>
          <w:rFonts w:hint="eastAsia" w:ascii="方正小标宋简体" w:eastAsia="方正小标宋简体"/>
          <w:color w:val="000000"/>
          <w:sz w:val="36"/>
          <w:szCs w:val="36"/>
        </w:rPr>
      </w:pPr>
    </w:p>
    <w:p w14:paraId="1DA26BA0">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2025年度单位预算情况说明</w:t>
      </w:r>
    </w:p>
    <w:p w14:paraId="269F0975">
      <w:pPr>
        <w:spacing w:line="680" w:lineRule="exact"/>
        <w:jc w:val="center"/>
        <w:rPr>
          <w:rFonts w:ascii="仿宋_GB2312" w:eastAsia="仿宋_GB2312"/>
          <w:color w:val="000000"/>
          <w:sz w:val="32"/>
          <w:szCs w:val="32"/>
        </w:rPr>
      </w:pPr>
    </w:p>
    <w:p w14:paraId="330695C8">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14:paraId="2CB057EF">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14:paraId="5DE95B4D">
      <w:pPr>
        <w:spacing w:line="560" w:lineRule="exact"/>
        <w:ind w:firstLine="640" w:firstLineChars="200"/>
        <w:rPr>
          <w:rFonts w:ascii="仿宋_GB2312" w:eastAsia="仿宋_GB2312"/>
          <w:sz w:val="32"/>
          <w:szCs w:val="32"/>
        </w:rPr>
      </w:pPr>
      <w:r>
        <w:rPr>
          <w:rFonts w:hint="eastAsia" w:ascii="仿宋_GB2312" w:eastAsia="仿宋_GB2312"/>
          <w:color w:val="auto"/>
          <w:sz w:val="32"/>
          <w:szCs w:val="32"/>
        </w:rPr>
        <w:t>根据中共北京市委机构编制委员会《关于市科委、中关村管委会所属事业单位改革有关事项的批复》（京编委〔2021〕66号）文件，设立北京科技成果转化服务中心。主要职责：承担科技成果转化相关政策研究、成果转化服务平台建设等事务性工作，承担科技成果汇聚、信息共享、供需对接等服务性工作。</w:t>
      </w:r>
    </w:p>
    <w:p w14:paraId="62203476">
      <w:pPr>
        <w:numPr>
          <w:ilvl w:val="0"/>
          <w:numId w:val="1"/>
        </w:num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机构设置情况</w:t>
      </w:r>
    </w:p>
    <w:p w14:paraId="53B9F57C">
      <w:pPr>
        <w:spacing w:line="560" w:lineRule="exact"/>
        <w:ind w:firstLine="640" w:firstLineChars="200"/>
        <w:rPr>
          <w:rFonts w:ascii="仿宋_GB2312" w:eastAsia="仿宋_GB2312"/>
          <w:color w:val="auto"/>
          <w:sz w:val="32"/>
        </w:rPr>
      </w:pPr>
      <w:r>
        <w:rPr>
          <w:rFonts w:hint="eastAsia" w:ascii="仿宋_GB2312" w:eastAsia="仿宋_GB2312"/>
          <w:color w:val="auto"/>
          <w:sz w:val="32"/>
          <w:szCs w:val="32"/>
        </w:rPr>
        <w:t>北京科技成果转化服务中心</w:t>
      </w:r>
      <w:r>
        <w:rPr>
          <w:rFonts w:hint="eastAsia" w:ascii="仿宋_GB2312" w:hAnsi="仿宋" w:eastAsia="仿宋_GB2312"/>
          <w:b w:val="0"/>
          <w:bCs w:val="0"/>
          <w:color w:val="auto"/>
          <w:sz w:val="32"/>
          <w:szCs w:val="32"/>
        </w:rPr>
        <w:t>下设</w:t>
      </w:r>
      <w:r>
        <w:rPr>
          <w:rFonts w:hint="eastAsia" w:ascii="仿宋_GB2312" w:eastAsia="仿宋_GB2312"/>
          <w:color w:val="auto"/>
          <w:sz w:val="32"/>
          <w:szCs w:val="32"/>
        </w:rPr>
        <w:t>6个部门，分别为综合管理部、综合协调部、转化服务部、交流合作部、转化人才部和分析评价部。</w:t>
      </w:r>
    </w:p>
    <w:p w14:paraId="1DA0F8E6">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14:paraId="58492A54">
      <w:pPr>
        <w:spacing w:line="560" w:lineRule="exact"/>
        <w:ind w:firstLine="640" w:firstLineChars="200"/>
        <w:rPr>
          <w:rFonts w:hint="eastAsia" w:ascii="仿宋_GB2312" w:eastAsia="仿宋_GB2312"/>
          <w:color w:val="000000"/>
          <w:sz w:val="32"/>
          <w:szCs w:val="32"/>
          <w:lang w:eastAsia="zh-CN"/>
        </w:rPr>
      </w:pPr>
      <w:r>
        <w:rPr>
          <w:rFonts w:hint="eastAsia" w:ascii="仿宋_GB2312" w:eastAsia="仿宋_GB2312"/>
          <w:color w:val="000000"/>
          <w:sz w:val="32"/>
          <w:szCs w:val="32"/>
        </w:rPr>
        <w:t>北京科技成果转化服务中心事业编制41人，实有人数32人</w:t>
      </w:r>
      <w:r>
        <w:rPr>
          <w:rFonts w:hint="eastAsia" w:ascii="仿宋_GB2312" w:eastAsia="仿宋_GB2312"/>
          <w:color w:val="000000"/>
          <w:sz w:val="32"/>
          <w:szCs w:val="32"/>
          <w:lang w:eastAsia="zh-CN"/>
        </w:rPr>
        <w:t>。</w:t>
      </w:r>
    </w:p>
    <w:p w14:paraId="3563AC46">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离退休人员15人，其中：离休0人，退休15人。</w:t>
      </w:r>
    </w:p>
    <w:p w14:paraId="0333F6C1">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二、收入预算情况说明</w:t>
      </w:r>
    </w:p>
    <w:p w14:paraId="497AB4EA">
      <w:pPr>
        <w:spacing w:line="560" w:lineRule="exact"/>
        <w:ind w:firstLine="640" w:firstLineChars="200"/>
        <w:rPr>
          <w:highlight w:val="none"/>
        </w:rPr>
      </w:pPr>
      <w:r>
        <w:rPr>
          <w:rFonts w:hint="eastAsia" w:ascii="仿宋_GB2312" w:eastAsia="仿宋_GB2312"/>
          <w:sz w:val="32"/>
          <w:szCs w:val="32"/>
        </w:rPr>
        <w:t>2025年度收入预算</w:t>
      </w:r>
      <w:r>
        <w:rPr>
          <w:rFonts w:ascii="仿宋_GB2312" w:eastAsia="仿宋_GB2312"/>
          <w:sz w:val="32"/>
          <w:szCs w:val="32"/>
        </w:rPr>
        <w:t>1,752.08</w:t>
      </w:r>
      <w:r>
        <w:rPr>
          <w:rFonts w:hint="eastAsia" w:ascii="仿宋_GB2312" w:eastAsia="仿宋_GB2312"/>
          <w:sz w:val="32"/>
          <w:szCs w:val="32"/>
        </w:rPr>
        <w:t>万元，比2024年年初预算数</w:t>
      </w:r>
      <w:r>
        <w:rPr>
          <w:rFonts w:ascii="仿宋_GB2312" w:eastAsia="仿宋_GB2312"/>
          <w:sz w:val="32"/>
          <w:szCs w:val="32"/>
        </w:rPr>
        <w:t>1,854.05</w:t>
      </w:r>
      <w:r>
        <w:rPr>
          <w:rFonts w:hint="eastAsia" w:ascii="仿宋_GB2312" w:eastAsia="仿宋_GB2312"/>
          <w:sz w:val="32"/>
          <w:szCs w:val="32"/>
        </w:rPr>
        <w:t>万元减少101.97万元，下降5.50%</w:t>
      </w:r>
      <w:r>
        <w:rPr>
          <w:rFonts w:hint="eastAsia" w:ascii="仿宋_GB2312" w:eastAsia="仿宋_GB2312"/>
          <w:sz w:val="32"/>
          <w:szCs w:val="32"/>
          <w:highlight w:val="none"/>
        </w:rPr>
        <w:t>。主要原因是根据工作安排，减少科技成果转化与扩散等</w:t>
      </w:r>
      <w:r>
        <w:rPr>
          <w:rFonts w:hint="eastAsia" w:ascii="仿宋_GB2312" w:eastAsia="仿宋_GB2312"/>
          <w:sz w:val="32"/>
          <w:szCs w:val="32"/>
          <w:highlight w:val="none"/>
          <w:lang w:val="en-US" w:eastAsia="zh-CN"/>
        </w:rPr>
        <w:t>方面的</w:t>
      </w:r>
      <w:r>
        <w:rPr>
          <w:rFonts w:hint="eastAsia" w:ascii="仿宋_GB2312" w:eastAsia="仿宋_GB2312"/>
          <w:sz w:val="32"/>
          <w:szCs w:val="32"/>
          <w:highlight w:val="none"/>
        </w:rPr>
        <w:t>经费预算。</w:t>
      </w:r>
    </w:p>
    <w:p w14:paraId="7DECA912">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（一）本年财政拨款收入1</w:t>
      </w:r>
      <w:r>
        <w:rPr>
          <w:rFonts w:hint="eastAsia" w:ascii="楷体_GB2312" w:eastAsia="楷体_GB2312"/>
          <w:sz w:val="32"/>
          <w:szCs w:val="32"/>
          <w:lang w:val="en-US" w:eastAsia="zh-CN"/>
        </w:rPr>
        <w:t>,</w:t>
      </w:r>
      <w:r>
        <w:rPr>
          <w:rFonts w:hint="eastAsia" w:ascii="楷体_GB2312" w:eastAsia="楷体_GB2312"/>
          <w:sz w:val="32"/>
          <w:szCs w:val="32"/>
        </w:rPr>
        <w:t>752.08万元</w:t>
      </w:r>
    </w:p>
    <w:p w14:paraId="028EC5E0">
      <w:pPr>
        <w:spacing w:line="56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1.一般公共预算拨款收入1</w:t>
      </w:r>
      <w:r>
        <w:rPr>
          <w:rFonts w:hint="eastAsia" w:ascii="仿宋_GB2312" w:eastAsia="仿宋_GB2312"/>
          <w:sz w:val="32"/>
          <w:szCs w:val="32"/>
          <w:lang w:val="en-US" w:eastAsia="zh-CN"/>
        </w:rPr>
        <w:t>,</w:t>
      </w:r>
      <w:r>
        <w:rPr>
          <w:rFonts w:hint="eastAsia" w:ascii="仿宋_GB2312" w:eastAsia="仿宋_GB2312"/>
          <w:sz w:val="32"/>
          <w:szCs w:val="32"/>
        </w:rPr>
        <w:t>752.08万元。</w:t>
      </w:r>
    </w:p>
    <w:p w14:paraId="13177570">
      <w:pPr>
        <w:spacing w:line="56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2.政府性基金预算拨款收入0.00万元。</w:t>
      </w:r>
    </w:p>
    <w:p w14:paraId="4745857E">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3.国有资本经营预算拨款收入0.00万元。</w:t>
      </w:r>
    </w:p>
    <w:p w14:paraId="14FCB205">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（二）本年其他资金收入</w:t>
      </w:r>
      <w:r>
        <w:rPr>
          <w:rFonts w:hint="eastAsia" w:ascii="仿宋_GB2312" w:eastAsia="仿宋_GB2312"/>
          <w:sz w:val="32"/>
          <w:szCs w:val="32"/>
        </w:rPr>
        <w:t>0.00</w:t>
      </w:r>
      <w:r>
        <w:rPr>
          <w:rFonts w:hint="eastAsia" w:ascii="楷体_GB2312" w:eastAsia="楷体_GB2312"/>
          <w:sz w:val="32"/>
          <w:szCs w:val="32"/>
        </w:rPr>
        <w:t>万元</w:t>
      </w:r>
    </w:p>
    <w:p w14:paraId="43C20A2C">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4.财政专户管理资金收入0.00万元。</w:t>
      </w:r>
    </w:p>
    <w:p w14:paraId="39E92B20">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5.事业收入0.00万元。</w:t>
      </w:r>
    </w:p>
    <w:p w14:paraId="11F6B45A">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6.上级补助收入0.00万元。</w:t>
      </w:r>
    </w:p>
    <w:p w14:paraId="0FF65765">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7.附属单位上缴收入0.00万元。</w:t>
      </w:r>
    </w:p>
    <w:p w14:paraId="57FB66EB">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8.事业单位经营收入0.00万元。</w:t>
      </w:r>
    </w:p>
    <w:p w14:paraId="33E73D99">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9.其他收入0.00万元。</w:t>
      </w:r>
    </w:p>
    <w:p w14:paraId="67FBA9CA">
      <w:pPr>
        <w:spacing w:line="560" w:lineRule="exact"/>
        <w:ind w:firstLine="640" w:firstLineChars="200"/>
        <w:rPr>
          <w:rFonts w:ascii="楷体_GB2312" w:eastAsia="楷体_GB2312"/>
          <w:sz w:val="32"/>
          <w:szCs w:val="32"/>
        </w:rPr>
      </w:pPr>
      <w:r>
        <w:rPr>
          <w:rFonts w:hint="eastAsia" w:ascii="楷体_GB2312" w:eastAsia="楷体_GB2312"/>
          <w:sz w:val="32"/>
          <w:szCs w:val="32"/>
        </w:rPr>
        <w:t>（三）上年结转结余0.00万元</w:t>
      </w:r>
    </w:p>
    <w:p w14:paraId="1A7C6B13">
      <w:pPr>
        <w:spacing w:line="560" w:lineRule="exact"/>
        <w:ind w:firstLine="640" w:firstLineChars="200"/>
        <w:rPr>
          <w:rFonts w:ascii="仿宋_GB2312" w:eastAsia="仿宋_GB2312"/>
          <w:b/>
          <w:sz w:val="32"/>
          <w:szCs w:val="32"/>
        </w:rPr>
      </w:pPr>
      <w:r>
        <w:rPr>
          <w:rFonts w:hint="eastAsia" w:ascii="仿宋_GB2312" w:eastAsia="仿宋_GB2312"/>
          <w:sz w:val="32"/>
          <w:szCs w:val="32"/>
        </w:rPr>
        <w:t>10.上年结转结余0.00万元。</w:t>
      </w:r>
    </w:p>
    <w:p w14:paraId="7156E29D">
      <w:pPr>
        <w:spacing w:line="560" w:lineRule="exact"/>
        <w:ind w:firstLine="640" w:firstLineChars="200"/>
        <w:rPr>
          <w:rFonts w:hint="eastAsia" w:ascii="黑体" w:eastAsia="黑体"/>
          <w:sz w:val="32"/>
          <w:szCs w:val="32"/>
        </w:rPr>
      </w:pPr>
    </w:p>
    <w:p w14:paraId="033FF270">
      <w:pPr>
        <w:spacing w:line="480" w:lineRule="auto"/>
        <w:ind w:firstLine="643"/>
        <w:jc w:val="center"/>
        <w:rPr>
          <w:color w:val="FF0000"/>
          <w:sz w:val="32"/>
          <w:highlight w:val="yellow"/>
        </w:rPr>
      </w:pPr>
      <w:r>
        <w:rPr>
          <w:rFonts w:hint="eastAsia" w:ascii="仿宋_GB2312" w:eastAsia="仿宋_GB2312"/>
          <w:sz w:val="32"/>
          <w:szCs w:val="32"/>
        </w:rPr>
        <w:drawing>
          <wp:anchor distT="0" distB="0" distL="114300" distR="114300" simplePos="0" relativeHeight="251660288" behindDoc="0" locked="0" layoutInCell="1" allowOverlap="1">
            <wp:simplePos x="0" y="0"/>
            <wp:positionH relativeFrom="margin">
              <wp:posOffset>181610</wp:posOffset>
            </wp:positionH>
            <wp:positionV relativeFrom="margin">
              <wp:posOffset>5019040</wp:posOffset>
            </wp:positionV>
            <wp:extent cx="5016500" cy="2791460"/>
            <wp:effectExtent l="6350" t="6350" r="6350" b="21590"/>
            <wp:wrapSquare wrapText="bothSides"/>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anchor>
        </w:drawing>
      </w:r>
      <w:r>
        <w:rPr>
          <w:rFonts w:hint="eastAsia" w:ascii="仿宋_GB2312" w:eastAsia="仿宋_GB2312"/>
          <w:b/>
          <w:color w:val="000000"/>
          <w:sz w:val="32"/>
          <w:szCs w:val="32"/>
        </w:rPr>
        <w:t>图1：收入预算</w:t>
      </w:r>
    </w:p>
    <w:p w14:paraId="58D345C5">
      <w:pPr>
        <w:spacing w:line="560" w:lineRule="exact"/>
        <w:ind w:firstLine="640" w:firstLineChars="200"/>
        <w:rPr>
          <w:rFonts w:hint="eastAsia" w:ascii="黑体" w:eastAsia="黑体"/>
          <w:sz w:val="32"/>
          <w:szCs w:val="32"/>
        </w:rPr>
      </w:pPr>
    </w:p>
    <w:p w14:paraId="5D234FEA">
      <w:pPr>
        <w:spacing w:line="560" w:lineRule="exact"/>
        <w:ind w:firstLine="640" w:firstLineChars="200"/>
        <w:rPr>
          <w:rFonts w:ascii="黑体" w:eastAsia="黑体"/>
          <w:sz w:val="32"/>
          <w:szCs w:val="32"/>
        </w:rPr>
      </w:pPr>
      <w:r>
        <w:rPr>
          <w:rFonts w:hint="eastAsia" w:ascii="黑体" w:eastAsia="黑体"/>
          <w:sz w:val="32"/>
          <w:szCs w:val="32"/>
        </w:rPr>
        <w:t>三、支出预算情况说明</w:t>
      </w:r>
    </w:p>
    <w:p w14:paraId="2E493AFB">
      <w:pPr>
        <w:spacing w:line="560" w:lineRule="exact"/>
        <w:ind w:firstLine="640" w:firstLineChars="200"/>
        <w:rPr>
          <w:rFonts w:ascii="仿宋_GB2312" w:eastAsia="仿宋_GB2312"/>
          <w:sz w:val="32"/>
          <w:szCs w:val="32"/>
        </w:rPr>
      </w:pPr>
      <w:r>
        <w:rPr>
          <w:rFonts w:hint="eastAsia" w:ascii="仿宋_GB2312" w:eastAsia="仿宋_GB2312"/>
          <w:sz w:val="32"/>
          <w:szCs w:val="32"/>
        </w:rPr>
        <w:t>2025年支出预算1</w:t>
      </w:r>
      <w:r>
        <w:rPr>
          <w:rFonts w:hint="eastAsia" w:ascii="仿宋_GB2312" w:eastAsia="仿宋_GB2312"/>
          <w:sz w:val="32"/>
          <w:szCs w:val="32"/>
          <w:lang w:val="en-US" w:eastAsia="zh-CN"/>
        </w:rPr>
        <w:t>,</w:t>
      </w:r>
      <w:r>
        <w:rPr>
          <w:rFonts w:hint="eastAsia" w:ascii="仿宋_GB2312" w:eastAsia="仿宋_GB2312"/>
          <w:sz w:val="32"/>
          <w:szCs w:val="32"/>
        </w:rPr>
        <w:t>752.08万元，比2024年年初预算数1</w:t>
      </w:r>
      <w:r>
        <w:rPr>
          <w:rFonts w:hint="eastAsia" w:ascii="仿宋_GB2312" w:eastAsia="仿宋_GB2312"/>
          <w:sz w:val="32"/>
          <w:szCs w:val="32"/>
          <w:lang w:val="en-US" w:eastAsia="zh-CN"/>
        </w:rPr>
        <w:t>,</w:t>
      </w:r>
      <w:r>
        <w:rPr>
          <w:rFonts w:hint="eastAsia" w:ascii="仿宋_GB2312" w:eastAsia="仿宋_GB2312"/>
          <w:sz w:val="32"/>
          <w:szCs w:val="32"/>
        </w:rPr>
        <w:t>854.05万元减少101.97万元，下降5.50%。主要原因是</w:t>
      </w:r>
      <w:r>
        <w:rPr>
          <w:rFonts w:hint="eastAsia" w:ascii="仿宋_GB2312" w:eastAsia="仿宋_GB2312"/>
          <w:sz w:val="32"/>
          <w:szCs w:val="32"/>
          <w:lang w:val="en-US" w:eastAsia="zh-CN"/>
        </w:rPr>
        <w:t>根据工作安排</w:t>
      </w:r>
      <w:r>
        <w:rPr>
          <w:rFonts w:hint="eastAsia" w:ascii="仿宋_GB2312" w:eastAsia="仿宋_GB2312"/>
          <w:sz w:val="32"/>
          <w:szCs w:val="32"/>
          <w:lang w:eastAsia="zh-CN"/>
        </w:rPr>
        <w:t>，</w:t>
      </w:r>
      <w:r>
        <w:rPr>
          <w:rFonts w:hint="eastAsia" w:ascii="仿宋_GB2312" w:eastAsia="仿宋_GB2312"/>
          <w:sz w:val="32"/>
          <w:szCs w:val="32"/>
          <w:lang w:val="en-US" w:eastAsia="zh-CN"/>
        </w:rPr>
        <w:t>减少</w:t>
      </w:r>
      <w:r>
        <w:rPr>
          <w:rFonts w:hint="eastAsia" w:ascii="仿宋_GB2312" w:eastAsia="仿宋_GB2312"/>
          <w:sz w:val="32"/>
          <w:szCs w:val="32"/>
        </w:rPr>
        <w:t>科技成果转化政策落地及科技成果对接服务</w:t>
      </w:r>
      <w:r>
        <w:rPr>
          <w:rFonts w:hint="eastAsia" w:ascii="仿宋_GB2312" w:eastAsia="仿宋_GB2312"/>
          <w:sz w:val="32"/>
          <w:szCs w:val="32"/>
          <w:lang w:val="en-US" w:eastAsia="zh-CN"/>
        </w:rPr>
        <w:t>项目经费支出</w:t>
      </w:r>
      <w:r>
        <w:rPr>
          <w:rFonts w:hint="eastAsia" w:ascii="仿宋_GB2312" w:eastAsia="仿宋_GB2312"/>
          <w:sz w:val="32"/>
          <w:szCs w:val="32"/>
        </w:rPr>
        <w:t>。</w:t>
      </w:r>
    </w:p>
    <w:p w14:paraId="0D3B1666">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基本支出预算1,589.25万元，占本年支出预算</w:t>
      </w:r>
      <w:r>
        <w:rPr>
          <w:rFonts w:ascii="仿宋_GB2312" w:eastAsia="仿宋_GB2312"/>
          <w:sz w:val="32"/>
          <w:szCs w:val="32"/>
        </w:rPr>
        <w:t>90.71</w:t>
      </w:r>
      <w:r>
        <w:rPr>
          <w:rFonts w:hint="eastAsia" w:ascii="仿宋_GB2312" w:eastAsia="仿宋_GB2312"/>
          <w:sz w:val="32"/>
          <w:szCs w:val="32"/>
        </w:rPr>
        <w:t>%，比2024年年初预算数</w:t>
      </w:r>
      <w:r>
        <w:rPr>
          <w:rFonts w:ascii="仿宋_GB2312" w:eastAsia="仿宋_GB2312"/>
          <w:sz w:val="32"/>
          <w:szCs w:val="32"/>
        </w:rPr>
        <w:t>1,633.15</w:t>
      </w:r>
      <w:r>
        <w:rPr>
          <w:rFonts w:hint="eastAsia" w:ascii="仿宋_GB2312" w:eastAsia="仿宋_GB2312"/>
          <w:sz w:val="32"/>
          <w:szCs w:val="32"/>
        </w:rPr>
        <w:t>万元减少43.90万元，下降2.69%。</w:t>
      </w:r>
    </w:p>
    <w:p w14:paraId="3F8DBF2D">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项目支出预算162.83万元，比2024年年初预算数220.90万元减少58.07万元，下降26.29%。其中：</w:t>
      </w:r>
    </w:p>
    <w:p w14:paraId="331CD1F6">
      <w:pPr>
        <w:spacing w:line="560" w:lineRule="exact"/>
        <w:ind w:firstLine="640"/>
        <w:rPr>
          <w:rFonts w:ascii="仿宋_GB2312" w:eastAsia="仿宋_GB2312"/>
          <w:sz w:val="32"/>
          <w:szCs w:val="32"/>
        </w:rPr>
      </w:pPr>
      <w:r>
        <w:rPr>
          <w:rFonts w:hint="eastAsia" w:ascii="仿宋_GB2312" w:eastAsia="仿宋_GB2312"/>
          <w:sz w:val="32"/>
          <w:szCs w:val="32"/>
        </w:rPr>
        <w:t>1.事业单位经营支出0.00万元。</w:t>
      </w:r>
    </w:p>
    <w:p w14:paraId="4C27391D">
      <w:pPr>
        <w:spacing w:line="560" w:lineRule="exact"/>
        <w:ind w:firstLine="640"/>
        <w:rPr>
          <w:rFonts w:ascii="仿宋_GB2312" w:eastAsia="仿宋_GB2312"/>
          <w:sz w:val="32"/>
          <w:szCs w:val="32"/>
        </w:rPr>
      </w:pPr>
      <w:r>
        <w:rPr>
          <w:rFonts w:hint="eastAsia" w:ascii="仿宋_GB2312" w:eastAsia="仿宋_GB2312"/>
          <w:sz w:val="32"/>
          <w:szCs w:val="32"/>
        </w:rPr>
        <w:t>2.上缴上级支出0.00万元。</w:t>
      </w:r>
    </w:p>
    <w:p w14:paraId="747D15A2">
      <w:pPr>
        <w:spacing w:line="560" w:lineRule="exact"/>
        <w:ind w:firstLine="640"/>
        <w:rPr>
          <w:rFonts w:hint="eastAsia" w:ascii="仿宋_GB2312" w:eastAsia="仿宋_GB2312"/>
          <w:sz w:val="32"/>
          <w:szCs w:val="32"/>
        </w:rPr>
      </w:pPr>
      <w:r>
        <w:rPr>
          <w:rFonts w:hint="eastAsia" w:ascii="仿宋_GB2312" w:eastAsia="仿宋_GB2312"/>
          <w:sz w:val="32"/>
          <w:szCs w:val="32"/>
        </w:rPr>
        <w:t>3.对附属单位补助支出0.00万元。</w:t>
      </w:r>
    </w:p>
    <w:p w14:paraId="0B8C1D18">
      <w:pPr>
        <w:spacing w:line="560" w:lineRule="exact"/>
        <w:ind w:firstLine="640"/>
        <w:jc w:val="center"/>
        <w:rPr>
          <w:rFonts w:hint="eastAsia"/>
        </w:rPr>
      </w:pPr>
      <w:r>
        <w:rPr>
          <w:rFonts w:hint="eastAsia" w:ascii="仿宋_GB2312" w:eastAsia="仿宋_GB2312"/>
          <w:b/>
          <w:sz w:val="32"/>
          <w:szCs w:val="32"/>
        </w:rPr>
        <w:t>图2：基本支出和项目支出情况</w:t>
      </w:r>
      <w:r>
        <w:rPr>
          <w:rFonts w:ascii="仿宋_GB2312" w:eastAsia="仿宋_GB2312"/>
          <w:sz w:val="32"/>
          <w:szCs w:val="32"/>
        </w:rPr>
        <w:drawing>
          <wp:anchor distT="0" distB="0" distL="114300" distR="114300" simplePos="0" relativeHeight="251661312" behindDoc="0" locked="0" layoutInCell="1" allowOverlap="1">
            <wp:simplePos x="0" y="0"/>
            <wp:positionH relativeFrom="margin">
              <wp:posOffset>199390</wp:posOffset>
            </wp:positionH>
            <wp:positionV relativeFrom="margin">
              <wp:posOffset>5067300</wp:posOffset>
            </wp:positionV>
            <wp:extent cx="4238625" cy="2172335"/>
            <wp:effectExtent l="6350" t="6350" r="22225" b="12065"/>
            <wp:wrapTopAndBottom/>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p>
    <w:p w14:paraId="37308D22">
      <w:pPr>
        <w:numPr>
          <w:ilvl w:val="0"/>
          <w:numId w:val="2"/>
        </w:numPr>
        <w:spacing w:line="56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sz w:val="32"/>
          <w:szCs w:val="32"/>
        </w:rPr>
        <w:t>年终</w:t>
      </w:r>
      <w:r>
        <w:rPr>
          <w:rFonts w:hint="eastAsia" w:ascii="楷体_GB2312" w:hAnsi="楷体_GB2312" w:eastAsia="楷体_GB2312" w:cs="楷体_GB2312"/>
          <w:color w:val="000000"/>
          <w:sz w:val="32"/>
          <w:szCs w:val="32"/>
        </w:rPr>
        <w:t>结转结余资金0.00万元。</w:t>
      </w:r>
    </w:p>
    <w:p w14:paraId="0E6AC732">
      <w:pPr>
        <w:spacing w:line="560" w:lineRule="exact"/>
        <w:ind w:firstLine="640" w:firstLineChars="200"/>
        <w:rPr>
          <w:rFonts w:ascii="黑体" w:eastAsia="黑体"/>
          <w:sz w:val="32"/>
          <w:szCs w:val="32"/>
        </w:rPr>
      </w:pPr>
      <w:r>
        <w:rPr>
          <w:rFonts w:hint="eastAsia" w:ascii="黑体" w:eastAsia="黑体"/>
          <w:sz w:val="32"/>
          <w:szCs w:val="32"/>
        </w:rPr>
        <w:t>四、财政拨款“三公”经费预算情况说明</w:t>
      </w:r>
    </w:p>
    <w:p w14:paraId="294AE90A">
      <w:pPr>
        <w:spacing w:line="560" w:lineRule="exact"/>
        <w:ind w:firstLine="640" w:firstLineChars="200"/>
        <w:rPr>
          <w:rFonts w:ascii="楷体_GB2312" w:eastAsia="楷体_GB2312"/>
          <w:sz w:val="32"/>
          <w:szCs w:val="32"/>
        </w:rPr>
      </w:pPr>
      <w:r>
        <w:rPr>
          <w:rFonts w:hint="eastAsia" w:ascii="楷体_GB2312" w:eastAsia="楷体_GB2312"/>
          <w:sz w:val="32"/>
          <w:szCs w:val="32"/>
        </w:rPr>
        <w:t>（一）“三公”经费的单位范围</w:t>
      </w:r>
    </w:p>
    <w:p w14:paraId="57611873">
      <w:pPr>
        <w:spacing w:line="560" w:lineRule="exact"/>
        <w:ind w:firstLine="640" w:firstLineChars="200"/>
        <w:rPr>
          <w:rFonts w:ascii="仿宋_GB2312" w:eastAsia="仿宋_GB2312"/>
          <w:sz w:val="32"/>
          <w:szCs w:val="32"/>
        </w:rPr>
      </w:pPr>
      <w:r>
        <w:rPr>
          <w:rFonts w:hint="eastAsia" w:ascii="仿宋_GB2312" w:eastAsia="仿宋_GB2312"/>
          <w:sz w:val="32"/>
          <w:szCs w:val="32"/>
        </w:rPr>
        <w:t>北京科技成果转化服务中心因公出国（境）费用、公务接待费、公务用车购置和运行维护费开支单位包括1个</w:t>
      </w:r>
      <w:r>
        <w:rPr>
          <w:rFonts w:hint="eastAsia" w:ascii="仿宋_GB2312" w:eastAsia="仿宋_GB2312"/>
          <w:sz w:val="32"/>
          <w:szCs w:val="32"/>
          <w:lang w:val="en-US" w:eastAsia="zh-CN"/>
        </w:rPr>
        <w:t>事业</w:t>
      </w:r>
      <w:r>
        <w:rPr>
          <w:rFonts w:hint="eastAsia" w:ascii="仿宋_GB2312" w:eastAsia="仿宋_GB2312"/>
          <w:sz w:val="32"/>
          <w:szCs w:val="32"/>
        </w:rPr>
        <w:t>单位。</w:t>
      </w:r>
    </w:p>
    <w:p w14:paraId="6B3E6E3E">
      <w:pPr>
        <w:spacing w:line="560" w:lineRule="exact"/>
        <w:ind w:firstLine="640" w:firstLineChars="200"/>
        <w:rPr>
          <w:rFonts w:ascii="楷体_GB2312" w:eastAsia="楷体_GB2312"/>
          <w:sz w:val="32"/>
          <w:szCs w:val="32"/>
        </w:rPr>
      </w:pPr>
      <w:r>
        <w:rPr>
          <w:rFonts w:hint="eastAsia" w:ascii="楷体_GB2312" w:eastAsia="楷体_GB2312"/>
          <w:sz w:val="32"/>
          <w:szCs w:val="32"/>
        </w:rPr>
        <w:t>（二）财政拨款“三公”经费预算情况说明</w:t>
      </w:r>
    </w:p>
    <w:p w14:paraId="63CAEEAE">
      <w:pPr>
        <w:spacing w:line="560" w:lineRule="exact"/>
        <w:ind w:firstLine="640" w:firstLineChars="200"/>
        <w:rPr>
          <w:rFonts w:ascii="仿宋_GB2312" w:eastAsia="仿宋_GB2312"/>
          <w:sz w:val="32"/>
          <w:szCs w:val="32"/>
        </w:rPr>
      </w:pPr>
      <w:r>
        <w:rPr>
          <w:rFonts w:hint="eastAsia" w:ascii="仿宋_GB2312" w:eastAsia="仿宋_GB2312"/>
          <w:sz w:val="32"/>
          <w:szCs w:val="32"/>
        </w:rPr>
        <w:t>2025年财政拨款“三公”经费预算2.50万元，与2024年财政拨款“三公”经费预算</w:t>
      </w:r>
      <w:r>
        <w:rPr>
          <w:rFonts w:hint="eastAsia" w:ascii="仿宋_GB2312" w:eastAsia="仿宋_GB2312"/>
          <w:sz w:val="32"/>
          <w:szCs w:val="32"/>
          <w:lang w:val="en-US" w:eastAsia="zh-CN"/>
        </w:rPr>
        <w:t>2.50万元</w:t>
      </w:r>
      <w:r>
        <w:rPr>
          <w:rFonts w:hint="eastAsia" w:ascii="仿宋_GB2312" w:eastAsia="仿宋_GB2312"/>
          <w:sz w:val="32"/>
          <w:szCs w:val="32"/>
        </w:rPr>
        <w:t>持平。其中：</w:t>
      </w:r>
    </w:p>
    <w:p w14:paraId="4BA898E4">
      <w:pPr>
        <w:spacing w:line="560" w:lineRule="exact"/>
        <w:ind w:firstLine="640" w:firstLineChars="200"/>
        <w:rPr>
          <w:rFonts w:ascii="仿宋_GB2312" w:eastAsia="仿宋_GB2312"/>
          <w:sz w:val="32"/>
          <w:szCs w:val="32"/>
        </w:rPr>
      </w:pPr>
      <w:r>
        <w:rPr>
          <w:rFonts w:hint="eastAsia" w:ascii="仿宋_GB2312" w:eastAsia="仿宋_GB2312"/>
          <w:sz w:val="32"/>
          <w:szCs w:val="32"/>
        </w:rPr>
        <w:t>1.因公出国（境）费用。2025年预算数0.00万元，与2024年年初预算数0.00万元持平。</w:t>
      </w:r>
    </w:p>
    <w:p w14:paraId="553CD82D">
      <w:pPr>
        <w:spacing w:line="560" w:lineRule="exact"/>
        <w:ind w:firstLine="640" w:firstLineChars="200"/>
        <w:rPr>
          <w:rFonts w:ascii="仿宋_GB2312" w:eastAsia="仿宋_GB2312"/>
          <w:color w:val="C00000"/>
          <w:sz w:val="32"/>
          <w:szCs w:val="32"/>
        </w:rPr>
      </w:pPr>
      <w:r>
        <w:rPr>
          <w:rFonts w:hint="eastAsia" w:ascii="仿宋_GB2312" w:eastAsia="仿宋_GB2312"/>
          <w:sz w:val="32"/>
          <w:szCs w:val="32"/>
        </w:rPr>
        <w:t>2.公务接待费。2025年预算数0.00万元，与2024年年初预算数0.00万元持平。</w:t>
      </w:r>
    </w:p>
    <w:p w14:paraId="3736007A">
      <w:pPr>
        <w:spacing w:line="540" w:lineRule="exact"/>
        <w:ind w:firstLine="640" w:firstLineChars="200"/>
        <w:rPr>
          <w:rFonts w:ascii="仿宋_GB2312" w:eastAsia="仿宋_GB2312"/>
          <w:color w:val="C00000"/>
          <w:sz w:val="32"/>
          <w:szCs w:val="32"/>
        </w:rPr>
      </w:pPr>
      <w:r>
        <w:rPr>
          <w:rFonts w:hint="eastAsia" w:ascii="仿宋_GB2312" w:eastAsia="仿宋_GB2312"/>
          <w:sz w:val="32"/>
          <w:szCs w:val="32"/>
        </w:rPr>
        <w:t>3.公务用车购置和运行维护费。2025年预算数2.50万元，包括：公务用车购置费2025年预算数0.00万元，与2024年年初预算数0.00万元持平；公务用车运行维护费2025年预算数2.50万元，其中：公务用车燃油1.32万元，公务用车维修0.43万元，公务用车保险0.43万元，其他支出0.32万元。公务用车运行维护费2025年预算数与2024年年初预算数2.50万元持平。</w:t>
      </w:r>
    </w:p>
    <w:p w14:paraId="6F0BFDF2">
      <w:pPr>
        <w:spacing w:line="560" w:lineRule="exact"/>
        <w:ind w:firstLine="640" w:firstLineChars="200"/>
        <w:rPr>
          <w:rFonts w:ascii="黑体" w:eastAsia="黑体"/>
          <w:sz w:val="32"/>
          <w:szCs w:val="32"/>
        </w:rPr>
      </w:pPr>
      <w:r>
        <w:rPr>
          <w:rFonts w:hint="eastAsia" w:ascii="黑体" w:eastAsia="黑体"/>
          <w:sz w:val="32"/>
          <w:szCs w:val="32"/>
        </w:rPr>
        <w:t>五、其他情况说明</w:t>
      </w:r>
    </w:p>
    <w:p w14:paraId="00C9C541">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14:paraId="1C284BB5">
      <w:pPr>
        <w:spacing w:line="560" w:lineRule="exact"/>
        <w:ind w:firstLine="640" w:firstLineChars="200"/>
        <w:rPr>
          <w:rFonts w:ascii="仿宋_GB2312" w:eastAsia="仿宋_GB2312"/>
          <w:sz w:val="32"/>
          <w:szCs w:val="32"/>
        </w:rPr>
      </w:pPr>
      <w:r>
        <w:rPr>
          <w:rFonts w:hint="eastAsia" w:ascii="仿宋_GB2312" w:eastAsia="仿宋_GB2312"/>
          <w:sz w:val="32"/>
          <w:szCs w:val="32"/>
        </w:rPr>
        <w:t>2025年北京科技成果转化服务中心政府采购预算总额</w:t>
      </w:r>
      <w:r>
        <w:rPr>
          <w:rFonts w:ascii="仿宋_GB2312" w:eastAsia="仿宋_GB2312"/>
          <w:sz w:val="32"/>
          <w:szCs w:val="32"/>
        </w:rPr>
        <w:t>24.35</w:t>
      </w:r>
      <w:r>
        <w:rPr>
          <w:rFonts w:hint="eastAsia" w:ascii="仿宋_GB2312" w:eastAsia="仿宋_GB2312"/>
          <w:sz w:val="32"/>
          <w:szCs w:val="32"/>
        </w:rPr>
        <w:t>万元，其中：政府采购货物预算</w:t>
      </w:r>
      <w:r>
        <w:rPr>
          <w:rFonts w:ascii="仿宋_GB2312" w:eastAsia="仿宋_GB2312"/>
          <w:sz w:val="32"/>
          <w:szCs w:val="32"/>
          <w:highlight w:val="none"/>
        </w:rPr>
        <w:t>1.00</w:t>
      </w:r>
      <w:r>
        <w:rPr>
          <w:rFonts w:hint="eastAsia" w:ascii="仿宋_GB2312" w:eastAsia="仿宋_GB2312"/>
          <w:sz w:val="32"/>
          <w:szCs w:val="32"/>
        </w:rPr>
        <w:t>万元，政府采购工程预算</w:t>
      </w:r>
      <w:r>
        <w:rPr>
          <w:rFonts w:ascii="仿宋_GB2312" w:eastAsia="仿宋_GB2312"/>
          <w:sz w:val="32"/>
          <w:szCs w:val="32"/>
          <w:highlight w:val="none"/>
        </w:rPr>
        <w:t>0.00</w:t>
      </w:r>
      <w:r>
        <w:rPr>
          <w:rFonts w:hint="eastAsia" w:ascii="仿宋_GB2312" w:eastAsia="仿宋_GB2312"/>
          <w:sz w:val="32"/>
          <w:szCs w:val="32"/>
        </w:rPr>
        <w:t>万元，政府采购服务预算</w:t>
      </w:r>
      <w:r>
        <w:rPr>
          <w:rFonts w:ascii="仿宋_GB2312" w:eastAsia="仿宋_GB2312"/>
          <w:sz w:val="32"/>
          <w:szCs w:val="32"/>
          <w:highlight w:val="none"/>
        </w:rPr>
        <w:t>23.35</w:t>
      </w:r>
      <w:r>
        <w:rPr>
          <w:rFonts w:hint="eastAsia" w:ascii="仿宋_GB2312" w:eastAsia="仿宋_GB2312"/>
          <w:sz w:val="32"/>
          <w:szCs w:val="32"/>
        </w:rPr>
        <w:t>万元。</w:t>
      </w:r>
    </w:p>
    <w:p w14:paraId="3B95F83E">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14:paraId="306BBB4F">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本单位不属于政府购买服务购买主体。</w:t>
      </w:r>
    </w:p>
    <w:p w14:paraId="7C43EA23">
      <w:pPr>
        <w:spacing w:line="56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14:paraId="42537E18">
      <w:pPr>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本</w:t>
      </w:r>
      <w:r>
        <w:rPr>
          <w:rFonts w:hint="eastAsia" w:ascii="仿宋_GB2312" w:eastAsia="仿宋_GB2312"/>
          <w:sz w:val="32"/>
          <w:szCs w:val="32"/>
        </w:rPr>
        <w:t>单位不在机关运行经费统计范围之内。</w:t>
      </w:r>
    </w:p>
    <w:p w14:paraId="2670F3AB">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14:paraId="0CDCF5B9">
      <w:pPr>
        <w:spacing w:line="560" w:lineRule="exact"/>
        <w:ind w:firstLine="640" w:firstLineChars="200"/>
        <w:rPr>
          <w:rFonts w:ascii="仿宋_GB2312" w:eastAsia="仿宋_GB2312"/>
          <w:sz w:val="32"/>
          <w:szCs w:val="32"/>
        </w:rPr>
      </w:pPr>
      <w:r>
        <w:rPr>
          <w:rFonts w:hint="eastAsia" w:ascii="仿宋_GB2312" w:eastAsia="仿宋_GB2312"/>
          <w:sz w:val="32"/>
          <w:szCs w:val="32"/>
        </w:rPr>
        <w:t>2025年，北京科技成果转化服务中心填报绩效目标的预算项目1个，占本单位本年预算项目1个的100.00%。填报绩效目标的项目支出预算162.83万元，占本单位本年项目支出预算的100.00%。</w:t>
      </w:r>
    </w:p>
    <w:p w14:paraId="19767D7C">
      <w:pPr>
        <w:spacing w:line="560" w:lineRule="exact"/>
        <w:ind w:firstLine="640" w:firstLineChars="200"/>
        <w:rPr>
          <w:rFonts w:ascii="楷体_GB2312" w:eastAsia="楷体_GB2312"/>
          <w:sz w:val="32"/>
          <w:szCs w:val="32"/>
        </w:rPr>
      </w:pPr>
      <w:r>
        <w:rPr>
          <w:rFonts w:hint="eastAsia" w:ascii="楷体_GB2312" w:eastAsia="楷体_GB2312"/>
          <w:sz w:val="32"/>
          <w:szCs w:val="32"/>
        </w:rPr>
        <w:t>（五）重点行政事业性收费情况说明</w:t>
      </w:r>
    </w:p>
    <w:p w14:paraId="2033EF51">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本单位2025年无重点行政事业性收费。</w:t>
      </w:r>
    </w:p>
    <w:p w14:paraId="7B2F9941">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14:paraId="46054E32">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本单位2025</w:t>
      </w:r>
      <w:r>
        <w:rPr>
          <w:rFonts w:hint="eastAsia" w:ascii="仿宋_GB2312" w:eastAsia="仿宋_GB2312"/>
          <w:color w:val="000000"/>
          <w:sz w:val="32"/>
          <w:szCs w:val="32"/>
        </w:rPr>
        <w:t>年无国有资本经营预算财政拨款安排的预算。</w:t>
      </w:r>
    </w:p>
    <w:p w14:paraId="24AC628D">
      <w:pPr>
        <w:spacing w:line="560" w:lineRule="exact"/>
        <w:ind w:firstLine="640" w:firstLineChars="200"/>
        <w:rPr>
          <w:rFonts w:ascii="仿宋_GB2312" w:eastAsia="仿宋_GB2312"/>
          <w:color w:val="000000"/>
          <w:sz w:val="32"/>
          <w:szCs w:val="32"/>
        </w:rPr>
      </w:pPr>
      <w:r>
        <w:rPr>
          <w:rFonts w:hint="eastAsia" w:ascii="楷体_GB2312" w:eastAsia="楷体_GB2312"/>
          <w:color w:val="000000"/>
          <w:sz w:val="32"/>
          <w:szCs w:val="32"/>
        </w:rPr>
        <w:t>（七）国有资产占用情况说明</w:t>
      </w:r>
    </w:p>
    <w:p w14:paraId="4CFFB0DD">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截至2024年底，北京科技成果转化服务中心共有车辆1台，共计17.70万元；单位价值50万元以上的设备0台（套）、共计0.00万元。2025年预算安排中，购置单位价值50万元以上的设备0台（套），共计0.00万元。</w:t>
      </w:r>
    </w:p>
    <w:p w14:paraId="15F1F46D">
      <w:pPr>
        <w:spacing w:line="560" w:lineRule="exact"/>
        <w:ind w:firstLine="640" w:firstLineChars="200"/>
        <w:rPr>
          <w:rFonts w:ascii="仿宋_GB2312" w:eastAsia="仿宋_GB2312"/>
          <w:color w:val="000000"/>
          <w:spacing w:val="-2"/>
          <w:sz w:val="32"/>
          <w:szCs w:val="32"/>
        </w:rPr>
      </w:pPr>
      <w:r>
        <w:rPr>
          <w:rFonts w:hint="eastAsia" w:ascii="黑体" w:eastAsia="黑体"/>
          <w:color w:val="000000"/>
          <w:sz w:val="32"/>
          <w:szCs w:val="32"/>
        </w:rPr>
        <w:t>六、名词解释</w:t>
      </w:r>
    </w:p>
    <w:p w14:paraId="1F29EA8F">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14:paraId="56718C59">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14:paraId="4BA6416D">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highlight w:val="none"/>
          <w:u w:val="none"/>
        </w:rPr>
        <w:t>“三公”经费财政拨款预算数：指本</w:t>
      </w:r>
      <w:r>
        <w:rPr>
          <w:rFonts w:hint="eastAsia" w:ascii="仿宋_GB2312" w:eastAsia="仿宋_GB2312"/>
          <w:color w:val="000000"/>
          <w:sz w:val="32"/>
          <w:szCs w:val="32"/>
          <w:highlight w:val="none"/>
          <w:u w:val="none"/>
          <w:lang w:val="en-US" w:eastAsia="zh-CN"/>
        </w:rPr>
        <w:t>单位</w:t>
      </w:r>
      <w:r>
        <w:rPr>
          <w:rFonts w:hint="eastAsia" w:ascii="仿宋_GB2312" w:eastAsia="仿宋_GB2312"/>
          <w:color w:val="000000"/>
          <w:sz w:val="32"/>
          <w:szCs w:val="32"/>
          <w:highlight w:val="none"/>
          <w:u w:val="none"/>
        </w:rPr>
        <w:t>当年部门预算</w:t>
      </w:r>
      <w:r>
        <w:rPr>
          <w:rFonts w:hint="eastAsia" w:ascii="仿宋_GB2312" w:eastAsia="仿宋_GB2312"/>
          <w:color w:val="000000"/>
          <w:sz w:val="32"/>
          <w:szCs w:val="32"/>
          <w:highlight w:val="none"/>
          <w:u w:val="none"/>
          <w:lang w:eastAsia="zh-CN"/>
        </w:rPr>
        <w:t>中财政拨款</w:t>
      </w:r>
      <w:r>
        <w:rPr>
          <w:rFonts w:hint="eastAsia" w:ascii="仿宋_GB2312" w:eastAsia="仿宋_GB2312"/>
          <w:color w:val="000000"/>
          <w:sz w:val="32"/>
          <w:szCs w:val="32"/>
          <w:highlight w:val="none"/>
          <w:u w:val="none"/>
        </w:rPr>
        <w:t>安排的因公出国（境）费用、公务接待费、公务用车购置和运行维护费预算数。</w:t>
      </w:r>
    </w:p>
    <w:p w14:paraId="1246BAC2">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453EF26B">
      <w:pPr>
        <w:spacing w:line="240" w:lineRule="auto"/>
        <w:jc w:val="left"/>
        <w:rPr>
          <w:rFonts w:ascii="方正小标宋简体" w:eastAsia="方正小标宋简体"/>
          <w:color w:val="000000"/>
          <w:sz w:val="36"/>
          <w:szCs w:val="36"/>
        </w:rPr>
      </w:pPr>
      <w:r>
        <w:rPr>
          <w:rFonts w:ascii="方正小标宋简体" w:eastAsia="方正小标宋简体"/>
          <w:color w:val="000000"/>
          <w:sz w:val="36"/>
          <w:szCs w:val="36"/>
        </w:rPr>
        <w:br w:type="page"/>
      </w:r>
    </w:p>
    <w:p w14:paraId="32E4C87F">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2025年度单位预算报表</w:t>
      </w:r>
    </w:p>
    <w:p w14:paraId="08B329AF">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附件：北京科技成果转化服务中心2025年度单位预算报表</w:t>
      </w:r>
      <w:r>
        <w:rPr>
          <w:rFonts w:hint="eastAsia" w:ascii="仿宋_GB2312" w:eastAsia="仿宋_GB2312" w:cs="宋体"/>
          <w:color w:val="000000"/>
          <w:kern w:val="0"/>
          <w:sz w:val="32"/>
          <w:szCs w:val="32"/>
          <w:lang w:val="zh-CN"/>
        </w:rPr>
        <w:t xml:space="preserve"> </w:t>
      </w:r>
    </w:p>
    <w:p w14:paraId="59A300D3"/>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w:altName w:val="方正公文小标宋"/>
    <w:panose1 w:val="00000000000000000000"/>
    <w:charset w:val="00"/>
    <w:family w:val="auto"/>
    <w:pitch w:val="default"/>
    <w:sig w:usb0="00000000" w:usb1="00000000" w:usb2="00000000" w:usb3="00000000" w:csb0="00040001" w:csb1="00000000"/>
  </w:font>
  <w:font w:name="方正公文小标宋">
    <w:panose1 w:val="02000500000000000000"/>
    <w:charset w:val="86"/>
    <w:family w:val="auto"/>
    <w:pitch w:val="default"/>
    <w:sig w:usb0="A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52A91B">
    <w:pPr>
      <w:pStyle w:val="6"/>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2784CF3">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7 -</w:t>
                          </w:r>
                          <w:r>
                            <w:rPr>
                              <w:rFonts w:ascii="宋体" w:hAnsi="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14:paraId="02784CF3">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7 -</w:t>
                    </w:r>
                    <w:r>
                      <w:rPr>
                        <w:rFonts w:ascii="宋体" w:hAnsi="宋体"/>
                        <w:sz w:val="28"/>
                        <w:szCs w:val="28"/>
                      </w:rPr>
                      <w:fldChar w:fldCharType="end"/>
                    </w:r>
                  </w:p>
                </w:txbxContent>
              </v:textbox>
            </v:shape>
          </w:pict>
        </mc:Fallback>
      </mc:AlternateContent>
    </w:r>
  </w:p>
  <w:p w14:paraId="2531EA21">
    <w:pPr>
      <w:pStyle w:val="6"/>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2E9D19"/>
    <w:multiLevelType w:val="singleLevel"/>
    <w:tmpl w:val="FF2E9D19"/>
    <w:lvl w:ilvl="0" w:tentative="0">
      <w:start w:val="3"/>
      <w:numFmt w:val="chineseCounting"/>
      <w:suff w:val="nothing"/>
      <w:lvlText w:val="（%1）"/>
      <w:lvlJc w:val="left"/>
      <w:rPr>
        <w:rFonts w:hint="eastAsia"/>
      </w:rPr>
    </w:lvl>
  </w:abstractNum>
  <w:abstractNum w:abstractNumId="1">
    <w:nsid w:val="3567DDCB"/>
    <w:multiLevelType w:val="singleLevel"/>
    <w:tmpl w:val="3567DDCB"/>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431F96"/>
    <w:rsid w:val="00063B89"/>
    <w:rsid w:val="000E6727"/>
    <w:rsid w:val="00204236"/>
    <w:rsid w:val="00311258"/>
    <w:rsid w:val="003E2FFB"/>
    <w:rsid w:val="004E214C"/>
    <w:rsid w:val="005037EA"/>
    <w:rsid w:val="005A5E8B"/>
    <w:rsid w:val="005E7395"/>
    <w:rsid w:val="0066102D"/>
    <w:rsid w:val="00681B22"/>
    <w:rsid w:val="006D1190"/>
    <w:rsid w:val="00720955"/>
    <w:rsid w:val="007B29A7"/>
    <w:rsid w:val="008043EE"/>
    <w:rsid w:val="0088695F"/>
    <w:rsid w:val="008E690B"/>
    <w:rsid w:val="009151E3"/>
    <w:rsid w:val="0091561F"/>
    <w:rsid w:val="009909C0"/>
    <w:rsid w:val="009F0340"/>
    <w:rsid w:val="00B830C3"/>
    <w:rsid w:val="00C057FB"/>
    <w:rsid w:val="00C71F53"/>
    <w:rsid w:val="00CC09E9"/>
    <w:rsid w:val="00D25EAF"/>
    <w:rsid w:val="00D40F47"/>
    <w:rsid w:val="00D87807"/>
    <w:rsid w:val="030516AD"/>
    <w:rsid w:val="032256DE"/>
    <w:rsid w:val="069D6184"/>
    <w:rsid w:val="07F52C69"/>
    <w:rsid w:val="0C874EE1"/>
    <w:rsid w:val="0E431F96"/>
    <w:rsid w:val="11E76E19"/>
    <w:rsid w:val="121A5CB9"/>
    <w:rsid w:val="200770CC"/>
    <w:rsid w:val="25FC5726"/>
    <w:rsid w:val="264439EB"/>
    <w:rsid w:val="2B8A1858"/>
    <w:rsid w:val="2C4E7372"/>
    <w:rsid w:val="2D483DC1"/>
    <w:rsid w:val="3031703B"/>
    <w:rsid w:val="37506ECC"/>
    <w:rsid w:val="3803546D"/>
    <w:rsid w:val="3F4F65F3"/>
    <w:rsid w:val="40097205"/>
    <w:rsid w:val="423043B0"/>
    <w:rsid w:val="459D614F"/>
    <w:rsid w:val="470F698F"/>
    <w:rsid w:val="4D005368"/>
    <w:rsid w:val="4EE94D91"/>
    <w:rsid w:val="526308B6"/>
    <w:rsid w:val="531D1302"/>
    <w:rsid w:val="539412EB"/>
    <w:rsid w:val="57721BAE"/>
    <w:rsid w:val="59A00A55"/>
    <w:rsid w:val="5A200FE3"/>
    <w:rsid w:val="5D147594"/>
    <w:rsid w:val="5E645749"/>
    <w:rsid w:val="63C05E4E"/>
    <w:rsid w:val="63E15DFA"/>
    <w:rsid w:val="66F51080"/>
    <w:rsid w:val="695452C0"/>
    <w:rsid w:val="6D8E50E5"/>
    <w:rsid w:val="6F382E74"/>
    <w:rsid w:val="70F81D2B"/>
    <w:rsid w:val="726B27E7"/>
    <w:rsid w:val="756F5013"/>
    <w:rsid w:val="7CFB1F19"/>
    <w:rsid w:val="7D886B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Date"/>
    <w:basedOn w:val="1"/>
    <w:next w:val="1"/>
    <w:qFormat/>
    <w:uiPriority w:val="0"/>
    <w:rPr>
      <w:rFonts w:eastAsia="楷体_GB2312"/>
      <w:sz w:val="32"/>
      <w:szCs w:val="20"/>
    </w:rPr>
  </w:style>
  <w:style w:type="paragraph" w:styleId="5">
    <w:name w:val="Balloon Text"/>
    <w:basedOn w:val="1"/>
    <w:link w:val="12"/>
    <w:qFormat/>
    <w:uiPriority w:val="0"/>
    <w:rPr>
      <w:sz w:val="18"/>
      <w:szCs w:val="18"/>
    </w:rPr>
  </w:style>
  <w:style w:type="paragraph" w:styleId="6">
    <w:name w:val="footer"/>
    <w:basedOn w:val="1"/>
    <w:qFormat/>
    <w:uiPriority w:val="99"/>
    <w:pPr>
      <w:tabs>
        <w:tab w:val="center" w:pos="4153"/>
        <w:tab w:val="right" w:pos="8306"/>
      </w:tabs>
      <w:snapToGrid w:val="0"/>
      <w:jc w:val="left"/>
    </w:pPr>
    <w:rPr>
      <w:sz w:val="18"/>
      <w:szCs w:val="20"/>
    </w:rPr>
  </w:style>
  <w:style w:type="paragraph" w:styleId="7">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10">
    <w:name w:val="annotation reference"/>
    <w:basedOn w:val="9"/>
    <w:qFormat/>
    <w:uiPriority w:val="0"/>
    <w:rPr>
      <w:sz w:val="21"/>
      <w:szCs w:val="21"/>
    </w:rPr>
  </w:style>
  <w:style w:type="character" w:customStyle="1" w:styleId="11">
    <w:name w:val="页眉 Char"/>
    <w:basedOn w:val="9"/>
    <w:link w:val="7"/>
    <w:qFormat/>
    <w:uiPriority w:val="0"/>
    <w:rPr>
      <w:rFonts w:ascii="Times New Roman" w:hAnsi="Times New Roman" w:eastAsia="宋体" w:cs="Droid Sans"/>
      <w:kern w:val="2"/>
      <w:sz w:val="18"/>
      <w:szCs w:val="18"/>
    </w:rPr>
  </w:style>
  <w:style w:type="character" w:customStyle="1" w:styleId="12">
    <w:name w:val="批注框文本 Char"/>
    <w:basedOn w:val="9"/>
    <w:link w:val="5"/>
    <w:qFormat/>
    <w:uiPriority w:val="0"/>
    <w:rPr>
      <w:rFonts w:ascii="Times New Roman" w:hAnsi="Times New Roman" w:eastAsia="宋体" w:cs="Droid Sans"/>
      <w:kern w:val="2"/>
      <w:sz w:val="18"/>
      <w:szCs w:val="18"/>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a:t>收入预算</a:t>
            </a:r>
            <a:endParaRPr lang="zh-CN" altLang="en-US"/>
          </a:p>
        </c:rich>
      </c:tx>
      <c:layout/>
      <c:overlay val="0"/>
    </c:title>
    <c:autoTitleDeleted val="0"/>
    <c:plotArea>
      <c:layout/>
      <c:pieChart>
        <c:varyColors val="1"/>
        <c:ser>
          <c:idx val="0"/>
          <c:order val="0"/>
          <c:tx>
            <c:strRef>
              <c:f>Sheet1!$B$1</c:f>
              <c:strCache>
                <c:ptCount val="1"/>
                <c:pt idx="0">
                  <c:v>销售额</c:v>
                </c:pt>
              </c:strCache>
            </c:strRef>
          </c:tx>
          <c:explosion val="0"/>
          <c:dPt>
            <c:idx val="0"/>
            <c:bubble3D val="0"/>
          </c:dPt>
          <c:dLbls>
            <c:dLbl>
              <c:idx val="0"/>
              <c:layout/>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ctr"/>
              <c:showLegendKey val="0"/>
              <c:showVal val="0"/>
              <c:showCatName val="0"/>
              <c:showSerName val="0"/>
              <c:showPercent val="1"/>
              <c:showBubbleSize val="0"/>
              <c:extLst>
                <c:ext xmlns:c15="http://schemas.microsoft.com/office/drawing/2012/chart" uri="{CE6537A1-D6FC-4f65-9D91-7224C49458BB}"/>
              </c:extLst>
            </c:dLbl>
            <c:numFmt formatCode="#,##0.00_);[Red]\(#,##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0"/>
            <c:extLst>
              <c:ext xmlns:c15="http://schemas.microsoft.com/office/drawing/2012/chart" uri="{CE6537A1-D6FC-4f65-9D91-7224C49458BB}">
                <c15:layout/>
                <c15:showLeaderLines val="0"/>
                <c15:leaderLines/>
              </c:ext>
            </c:extLst>
          </c:dLbls>
          <c:cat>
            <c:strRef>
              <c:f>Sheet1!$A$2</c:f>
              <c:strCache>
                <c:ptCount val="1"/>
                <c:pt idx="0">
                  <c:v>一般公共预算拨款收入</c:v>
                </c:pt>
              </c:strCache>
            </c:strRef>
          </c:cat>
          <c:val>
            <c:numRef>
              <c:f>Sheet1!$B$2</c:f>
              <c:numCache>
                <c:formatCode>General</c:formatCode>
                <c:ptCount val="1"/>
                <c:pt idx="0">
                  <c:v>1752.08</c:v>
                </c:pt>
              </c:numCache>
            </c:numRef>
          </c:val>
        </c:ser>
        <c:dLbls>
          <c:showLegendKey val="0"/>
          <c:showVal val="0"/>
          <c:showCatName val="0"/>
          <c:showSerName val="0"/>
          <c:showPercent val="0"/>
          <c:showBubbleSize val="0"/>
          <c:showLeaderLines val="0"/>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395fc830-f63e-4ea2-9cf7-28967f33abea}"/>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800"/>
              <a:t>基本支出和项目支出情况</a:t>
            </a:r>
            <a:endParaRPr lang="en-US" altLang="zh-CN" sz="1800"/>
          </a:p>
        </c:rich>
      </c:tx>
      <c:layout/>
      <c:overlay val="0"/>
    </c:title>
    <c:autoTitleDeleted val="0"/>
    <c:plotArea>
      <c:layout/>
      <c:pieChart>
        <c:varyColors val="1"/>
        <c:ser>
          <c:idx val="0"/>
          <c:order val="0"/>
          <c:tx>
            <c:strRef>
              <c:f>Sheet1!$B$1</c:f>
              <c:strCache>
                <c:ptCount val="1"/>
                <c:pt idx="0">
                  <c:v>销售额</c:v>
                </c:pt>
              </c:strCache>
            </c:strRef>
          </c:tx>
          <c:explosion val="0"/>
          <c:dPt>
            <c:idx val="0"/>
            <c:bubble3D val="0"/>
          </c:dPt>
          <c:dPt>
            <c:idx val="1"/>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Sheet1!$A$2:$A$3</c:f>
              <c:strCache>
                <c:ptCount val="2"/>
                <c:pt idx="0">
                  <c:v>基本支出</c:v>
                </c:pt>
                <c:pt idx="1">
                  <c:v>项目支出</c:v>
                </c:pt>
              </c:strCache>
            </c:strRef>
          </c:cat>
          <c:val>
            <c:numRef>
              <c:f>Sheet1!$B$2:$B$3</c:f>
              <c:numCache>
                <c:formatCode>General</c:formatCode>
                <c:ptCount val="2"/>
                <c:pt idx="0">
                  <c:v>1589.25</c:v>
                </c:pt>
                <c:pt idx="1">
                  <c:v>162.83</c:v>
                </c:pt>
              </c:numCache>
            </c:numRef>
          </c:val>
        </c:ser>
        <c:dLbls>
          <c:showLegendKey val="0"/>
          <c:showVal val="0"/>
          <c:showCatName val="0"/>
          <c:showSerName val="0"/>
          <c:showPercent val="0"/>
          <c:showBubbleSize val="0"/>
          <c:showLeaderLines val="1"/>
        </c:dLbls>
        <c:firstSliceAng val="0"/>
      </c:pieChart>
    </c:plotArea>
    <c:legend>
      <c:legendPos val="b"/>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3b8f7de5-25a7-4c78-88bb-cc11abbdd8c0}"/>
      </c:ext>
    </c:extLst>
  </c:chart>
  <c:txPr>
    <a:bodyPr/>
    <a:lstStyle/>
    <a:p>
      <a:pPr>
        <a:defRPr lang="zh-CN"/>
      </a:pPr>
    </a:p>
  </c:txPr>
  <c:externalData r:id="rId1">
    <c:autoUpdate val="0"/>
  </c:externalData>
</c:chartSpace>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2131</Words>
  <Characters>2485</Characters>
  <Lines>35</Lines>
  <Paragraphs>9</Paragraphs>
  <TotalTime>1</TotalTime>
  <ScaleCrop>false</ScaleCrop>
  <LinksUpToDate>false</LinksUpToDate>
  <CharactersWithSpaces>2515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2025-02-10T08:16:00Z</dcterms:created>
  <dc:creator>yd</dc:creator>
  <cp:lastModifiedBy>yd</cp:lastModifiedBy>
  <dcterms:modified xsi:type="dcterms:W3CDTF">2025-02-28T03:27:35Z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3A8E16AE736647919F95A9B302CBB313_11</vt:lpwstr>
  </property>
  <property fmtid="{D5CDD505-2E9C-101B-9397-08002B2CF9AE}" pid="4" name="KSOTemplateDocerSaveRecord">
    <vt:lpwstr>eyJoZGlkIjoiNjllMTQ1N2NiYWJhNmE3MmJmNjczYjE3MmE0Mzc5ZDEiLCJ1c2VySWQiOiIxMjgzMzY4NzkzIn0=</vt:lpwstr>
  </property>
</Properties>
</file>