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firstLineChars="20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北京市科学技术委员会（简称市科委）是市政府组成部门，挂北京市外国专家局（简称市外专局）牌子；中关村科技园区管理委员会（简称中关村管委会）是市政府派出机构。市科委与中关村管委会合署办公，为正局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市科委、中关村管委会贯彻落实党中央关于科技创新工作的方针政策、决策部署和市委有关工作要求，在履行职责过程中坚持和加强党对科技创新工作的集中统一领导。主要职责是：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1、贯彻落实国家创新驱动发展战略和科技工作的法律法规、规章和政策，起草本市相关地方性法规草案、政府规章草案，组织拟订相关政策措施并组织实施。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2、牵头推进国际科技创新中心建设。承担北京推进科技创新中心建设办公室秘书处职能，组织拟订相关工作方案及年度计划，并开展监督落实。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4、推进本市重大科技决策咨询制度建设。负责提出科技发展战略建议。提出科技发展布局和优先发展领域。拟订促进科技文化融合发展、科学普及、科学传播规划政策并组织实施。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5、拟订本市基础研究规划、政策并组织实施，组织协调基础研究和应用基础研究。参与重大科技基础设施建设和运行。提出科研条件保障规划和政策建议，推进科研条件保障建设和科技资源开放共享。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8、组织拟订本市高新技术发展及产业化、科技服务业、科技促进城市发展的规划、政策及措施。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11、负责本市科技监督评价体系建设和相关科技评估管理，统筹开展全市科研诚信建设工作。开展科技评估评价和监督检查工作。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12、负责本市引进国外智力工作。拟订引进外国专家规划、计划并组织实施。建立外国顶尖科学家及其团队、外国科技人才吸引集聚机制和重点外国专家联系服务机制。拟订出国（境）培训规划、年度计划和政策，并组织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13、拟订本市科技人才队伍建设规划和政策，建立健全科技人才评价和激励机制，组织实施科技人才计划，推动高端科技创新人才队伍建设，统筹推进中关村科技园区人才工作。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14、指导各区科技创新工作，联系市有关部门科技创新工作。统筹推进本市与各省区市的科技领域交流合作、科技协作和支援合作工作。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16、负责中关村科技园区发展建设工作，承担统筹、规划、组织、协调、服务中关村国家自主创新示范区建设与发展的有关具体工作。组织研究园区发展规划、政策及相关改革方案，并协调落实。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17、组织落实国家和本市促进高新技术产业开发区发展的政策措施，开展中关村科技园区创新创业、高新技术研发及其成果产业化、社会组织发展、知识产权等方面的促进和服务工作，培育战略性新兴产业、未来产业。</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19、完成市委、市政府交办的其他任务。</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20、职能转变。</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（4）全面促进科技成果转化。加强对创新主体的支持，促进产学研深度融合，加快科技成果转化。提升中关村科技园区自主创新能力建设，推动关键技术的示范应用，支撑高精尖产业高质量发展。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textAlignment w:val="baseline"/>
        <w:rPr>
          <w:rFonts w:hint="eastAsia" w:ascii="仿宋_GB2312" w:hAnsi="Times New Roman" w:eastAsia="仿宋_GB2312" w:cs="Times New Roman"/>
          <w:b w:val="0"/>
          <w:kern w:val="2"/>
          <w:sz w:val="28"/>
          <w:szCs w:val="28"/>
          <w:lang w:val="en-US" w:eastAsia="zh-CN" w:bidi="ar-SA"/>
        </w:rPr>
      </w:pPr>
      <w:r>
        <w:rPr>
          <w:rFonts w:hint="eastAsia" w:ascii="仿宋_GB2312" w:eastAsia="仿宋_GB2312" w:cs="Times New Roman"/>
          <w:b w:val="0"/>
          <w:kern w:val="2"/>
          <w:sz w:val="28"/>
          <w:szCs w:val="28"/>
          <w:lang w:val="en-US" w:eastAsia="zh-CN" w:bidi="ar-SA"/>
        </w:rPr>
        <w:t>本单位内设部门分别是：</w:t>
      </w:r>
      <w:bookmarkStart w:id="0" w:name="_GoBack"/>
      <w:bookmarkEnd w:id="0"/>
      <w:r>
        <w:rPr>
          <w:rFonts w:hint="eastAsia" w:ascii="仿宋_GB2312" w:eastAsia="仿宋_GB2312" w:cs="Times New Roman"/>
          <w:b w:val="0"/>
          <w:kern w:val="2"/>
          <w:sz w:val="28"/>
          <w:szCs w:val="28"/>
          <w:lang w:val="en-US" w:eastAsia="zh-CN" w:bidi="ar-SA"/>
        </w:rPr>
        <w:t>办公室、科创中心建设综合协调处、发展规划处、政策法规处（研究室）、资源配置与管理处、科技监督与诚信建设处、重大专项与基础研究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文化科技处（科普处）、科技服务业处、园区发展建设处、创新创业服务处、中关村新技术新产品促进处、宣传处、财务处、人事处、机关党委（党建工作处）、机关纪委、工会、离退休干部处。另设有市纪委市监委驻市科委、中关村管委会纪检监察组。</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5533.58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w:t>
      </w:r>
      <w:r>
        <w:rPr>
          <w:rFonts w:hint="eastAsia" w:ascii="仿宋_GB2312" w:eastAsia="仿宋_GB2312"/>
          <w:sz w:val="28"/>
          <w:szCs w:val="28"/>
          <w:lang w:val="en-US" w:eastAsia="zh-CN"/>
        </w:rPr>
        <w:t>少44.85</w:t>
      </w:r>
      <w:r>
        <w:rPr>
          <w:rFonts w:hint="eastAsia" w:ascii="仿宋_GB2312" w:eastAsia="仿宋_GB2312"/>
          <w:sz w:val="28"/>
          <w:szCs w:val="28"/>
        </w:rPr>
        <w:t>万元，下降</w:t>
      </w:r>
      <w:r>
        <w:rPr>
          <w:rFonts w:hint="eastAsia" w:ascii="仿宋_GB2312" w:eastAsia="仿宋_GB2312"/>
          <w:sz w:val="28"/>
          <w:szCs w:val="28"/>
          <w:lang w:val="en-US" w:eastAsia="zh-CN"/>
        </w:rPr>
        <w:t>0.80</w:t>
      </w:r>
      <w:r>
        <w:rPr>
          <w:rFonts w:ascii="仿宋_GB2312" w:eastAsia="仿宋_GB2312"/>
          <w:sz w:val="28"/>
          <w:szCs w:val="28"/>
        </w:rPr>
        <w:t>%</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5533.58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w:t>
      </w:r>
      <w:r>
        <w:rPr>
          <w:rFonts w:hint="eastAsia" w:ascii="仿宋_GB2312" w:eastAsia="仿宋_GB2312"/>
          <w:sz w:val="28"/>
          <w:szCs w:val="28"/>
          <w:lang w:val="en-US" w:eastAsia="zh-CN"/>
        </w:rPr>
        <w:t>少44.85</w:t>
      </w:r>
      <w:r>
        <w:rPr>
          <w:rFonts w:hint="eastAsia" w:ascii="仿宋_GB2312" w:eastAsia="仿宋_GB2312"/>
          <w:sz w:val="28"/>
          <w:szCs w:val="28"/>
        </w:rPr>
        <w:t>万元，下降</w:t>
      </w:r>
      <w:r>
        <w:rPr>
          <w:rFonts w:hint="eastAsia" w:ascii="仿宋_GB2312" w:eastAsia="仿宋_GB2312"/>
          <w:sz w:val="28"/>
          <w:szCs w:val="28"/>
          <w:lang w:val="en-US" w:eastAsia="zh-CN"/>
        </w:rPr>
        <w:t>0.80%</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5533.58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5533.58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4445" t="4445" r="10160" b="1651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5119.38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22.68</w:t>
      </w:r>
      <w:r>
        <w:rPr>
          <w:rFonts w:hint="eastAsia" w:ascii="仿宋_GB2312" w:eastAsia="仿宋_GB2312"/>
          <w:sz w:val="28"/>
          <w:szCs w:val="28"/>
        </w:rPr>
        <w:t>万元，下降</w:t>
      </w:r>
      <w:r>
        <w:rPr>
          <w:rFonts w:hint="eastAsia" w:ascii="仿宋_GB2312" w:eastAsia="仿宋_GB2312"/>
          <w:sz w:val="28"/>
          <w:szCs w:val="28"/>
          <w:lang w:val="en-US" w:eastAsia="zh-CN"/>
        </w:rPr>
        <w:t>0.44</w:t>
      </w:r>
      <w:r>
        <w:rPr>
          <w:rFonts w:hint="eastAsia" w:ascii="仿宋_GB2312" w:eastAsia="仿宋_GB2312"/>
          <w:sz w:val="28"/>
          <w:szCs w:val="28"/>
        </w:rPr>
        <w:t>%，其中</w:t>
      </w:r>
      <w:r>
        <w:rPr>
          <w:rFonts w:hint="eastAsia" w:ascii="仿宋_GB2312" w:eastAsia="仿宋_GB2312"/>
          <w:sz w:val="28"/>
          <w:szCs w:val="28"/>
          <w:lang w:eastAsia="zh-CN"/>
        </w:rPr>
        <w:t>，</w:t>
      </w:r>
      <w:r>
        <w:rPr>
          <w:rFonts w:hint="eastAsia" w:ascii="仿宋_GB2312" w:eastAsia="仿宋_GB2312"/>
          <w:sz w:val="28"/>
          <w:szCs w:val="28"/>
        </w:rPr>
        <w:t>基本支出</w:t>
      </w:r>
      <w:r>
        <w:rPr>
          <w:rFonts w:ascii="仿宋_GB2312" w:eastAsia="仿宋_GB2312"/>
          <w:sz w:val="28"/>
          <w:szCs w:val="28"/>
        </w:rPr>
        <w:t>4704.69</w:t>
      </w:r>
      <w:r>
        <w:rPr>
          <w:rFonts w:hint="eastAsia" w:ascii="仿宋_GB2312" w:eastAsia="仿宋_GB2312"/>
          <w:sz w:val="28"/>
          <w:szCs w:val="28"/>
        </w:rPr>
        <w:t>万元，占支出合计的</w:t>
      </w:r>
      <w:r>
        <w:rPr>
          <w:rFonts w:hint="eastAsia" w:ascii="仿宋_GB2312" w:eastAsia="仿宋_GB2312"/>
          <w:sz w:val="28"/>
          <w:szCs w:val="28"/>
          <w:lang w:eastAsia="zh-CN"/>
        </w:rPr>
        <w:t>91.9</w:t>
      </w:r>
      <w:r>
        <w:rPr>
          <w:rFonts w:hint="eastAsia" w:ascii="仿宋_GB2312" w:eastAsia="仿宋_GB2312"/>
          <w:sz w:val="28"/>
          <w:szCs w:val="28"/>
        </w:rPr>
        <w:t>%；项目支出</w:t>
      </w:r>
      <w:r>
        <w:rPr>
          <w:rFonts w:ascii="仿宋_GB2312" w:eastAsia="仿宋_GB2312"/>
          <w:sz w:val="28"/>
          <w:szCs w:val="28"/>
        </w:rPr>
        <w:t>414.7</w:t>
      </w:r>
      <w:r>
        <w:rPr>
          <w:rFonts w:hint="eastAsia" w:ascii="仿宋_GB2312" w:eastAsia="仿宋_GB2312"/>
          <w:sz w:val="28"/>
          <w:szCs w:val="28"/>
        </w:rPr>
        <w:t>万元，占支出合计的</w:t>
      </w:r>
      <w:r>
        <w:rPr>
          <w:rFonts w:hint="eastAsia" w:ascii="仿宋_GB2312" w:eastAsia="仿宋_GB2312"/>
          <w:sz w:val="28"/>
          <w:szCs w:val="28"/>
          <w:lang w:eastAsia="zh-CN"/>
        </w:rPr>
        <w:t>8.1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8255" b="825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5533.58</w:t>
      </w:r>
      <w:r>
        <w:rPr>
          <w:rFonts w:hint="eastAsia" w:ascii="仿宋_GB2312" w:eastAsia="仿宋_GB2312"/>
          <w:sz w:val="28"/>
          <w:szCs w:val="28"/>
        </w:rPr>
        <w:t>万元，比上年减少</w:t>
      </w:r>
      <w:r>
        <w:rPr>
          <w:rFonts w:hint="eastAsia" w:ascii="仿宋_GB2312" w:eastAsia="仿宋_GB2312"/>
          <w:sz w:val="28"/>
          <w:szCs w:val="28"/>
          <w:lang w:val="en-US" w:eastAsia="zh-CN"/>
        </w:rPr>
        <w:t>44.85</w:t>
      </w:r>
      <w:r>
        <w:rPr>
          <w:rFonts w:hint="eastAsia" w:ascii="仿宋_GB2312" w:eastAsia="仿宋_GB2312"/>
          <w:sz w:val="28"/>
          <w:szCs w:val="28"/>
        </w:rPr>
        <w:t>万元，下降</w:t>
      </w:r>
      <w:r>
        <w:rPr>
          <w:rFonts w:hint="eastAsia" w:ascii="仿宋_GB2312" w:eastAsia="仿宋_GB2312"/>
          <w:sz w:val="28"/>
          <w:szCs w:val="28"/>
          <w:lang w:val="en-US" w:eastAsia="zh-CN"/>
        </w:rPr>
        <w:t>0.80%</w:t>
      </w:r>
      <w:r>
        <w:rPr>
          <w:rFonts w:hint="eastAsia" w:ascii="仿宋_GB2312" w:eastAsia="仿宋_GB2312"/>
          <w:sz w:val="28"/>
          <w:szCs w:val="28"/>
        </w:rPr>
        <w:t>。</w:t>
      </w:r>
      <w:r>
        <w:rPr>
          <w:rFonts w:hint="eastAsia" w:ascii="仿宋_GB2312" w:eastAsia="仿宋_GB2312"/>
          <w:sz w:val="28"/>
          <w:szCs w:val="28"/>
          <w:lang w:val="en-US" w:eastAsia="zh-CN"/>
        </w:rPr>
        <w:t>与上年基本持平</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5119.38</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16.68</w:t>
      </w:r>
      <w:r>
        <w:rPr>
          <w:rFonts w:hint="eastAsia" w:ascii="仿宋_GB2312" w:eastAsia="仿宋_GB2312"/>
          <w:sz w:val="28"/>
          <w:szCs w:val="28"/>
        </w:rPr>
        <w:t>万元，占本年财政拨款</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0.33</w:t>
      </w:r>
      <w:r>
        <w:rPr>
          <w:rFonts w:hint="eastAsia" w:ascii="仿宋_GB2312" w:eastAsia="仿宋_GB2312"/>
          <w:color w:val="auto"/>
          <w:sz w:val="28"/>
          <w:szCs w:val="28"/>
        </w:rPr>
        <w:t>%。科学技术支出</w:t>
      </w:r>
      <w:r>
        <w:rPr>
          <w:rFonts w:hint="eastAsia" w:ascii="仿宋_GB2312" w:eastAsia="仿宋_GB2312"/>
          <w:color w:val="auto"/>
          <w:sz w:val="28"/>
          <w:szCs w:val="28"/>
          <w:lang w:val="en-US" w:eastAsia="zh-CN"/>
        </w:rPr>
        <w:t>4981.22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97.30</w:t>
      </w:r>
      <w:r>
        <w:rPr>
          <w:rFonts w:hint="eastAsia" w:ascii="仿宋_GB2312" w:eastAsia="仿宋_GB2312"/>
          <w:color w:val="auto"/>
          <w:sz w:val="28"/>
          <w:szCs w:val="28"/>
        </w:rPr>
        <w:t>%。社会保障</w:t>
      </w:r>
      <w:r>
        <w:rPr>
          <w:rFonts w:hint="eastAsia" w:ascii="仿宋_GB2312" w:eastAsia="仿宋_GB2312"/>
          <w:sz w:val="28"/>
          <w:szCs w:val="28"/>
        </w:rPr>
        <w:t>和就业支出</w:t>
      </w:r>
      <w:r>
        <w:rPr>
          <w:rFonts w:hint="eastAsia" w:ascii="仿宋_GB2312" w:eastAsia="仿宋_GB2312"/>
          <w:sz w:val="28"/>
          <w:szCs w:val="28"/>
          <w:lang w:val="en-US" w:eastAsia="zh-CN"/>
        </w:rPr>
        <w:t>121.48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2.37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sz w:val="28"/>
          <w:szCs w:val="28"/>
        </w:rPr>
        <w:t>1、“教育支出”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17.27</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16.68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96.58</w:t>
      </w:r>
      <w:r>
        <w:rPr>
          <w:rFonts w:hint="eastAsia" w:ascii="仿宋_GB2312" w:eastAsia="仿宋_GB2312"/>
          <w:color w:val="auto"/>
          <w:sz w:val="28"/>
          <w:szCs w:val="28"/>
        </w:rPr>
        <w:t>%。其中：</w:t>
      </w:r>
    </w:p>
    <w:p>
      <w:pPr>
        <w:spacing w:line="580" w:lineRule="exact"/>
        <w:ind w:firstLine="560" w:firstLineChars="200"/>
        <w:rPr>
          <w:rFonts w:hint="eastAsia" w:ascii="仿宋_GB2312" w:hAnsi="Times New Roman" w:eastAsia="仿宋_GB2312" w:cs="Times New Roman"/>
          <w:color w:val="auto"/>
          <w:sz w:val="28"/>
          <w:szCs w:val="28"/>
          <w:lang w:val="en-US" w:eastAsia="zh-CN"/>
        </w:rPr>
      </w:pPr>
      <w:r>
        <w:rPr>
          <w:rFonts w:hint="eastAsia" w:ascii="仿宋_GB2312" w:eastAsia="仿宋_GB2312"/>
          <w:color w:val="auto"/>
          <w:sz w:val="28"/>
          <w:szCs w:val="28"/>
        </w:rPr>
        <w:t>“进修及培训”202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17.27</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16.68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96.58</w:t>
      </w:r>
      <w:r>
        <w:rPr>
          <w:rFonts w:hint="eastAsia" w:ascii="仿宋_GB2312" w:eastAsia="仿宋_GB2312"/>
          <w:color w:val="auto"/>
          <w:sz w:val="28"/>
          <w:szCs w:val="28"/>
        </w:rPr>
        <w:t>%。主要原因：</w:t>
      </w:r>
      <w:r>
        <w:rPr>
          <w:rFonts w:hint="eastAsia" w:ascii="仿宋_GB2312" w:eastAsia="仿宋_GB2312"/>
          <w:sz w:val="28"/>
          <w:szCs w:val="28"/>
        </w:rPr>
        <w:t>落实政府“过紧日子”要求，厉行勤俭节约，严格控制相关经费支出。</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2、“科学技术支出”202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5702.37</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4981.22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87.35</w:t>
      </w:r>
      <w:r>
        <w:rPr>
          <w:rFonts w:hint="eastAsia" w:ascii="仿宋_GB2312" w:eastAsia="仿宋_GB2312"/>
          <w:color w:val="auto"/>
          <w:sz w:val="28"/>
          <w:szCs w:val="28"/>
        </w:rPr>
        <w:t>%。其中：</w:t>
      </w:r>
    </w:p>
    <w:p>
      <w:pPr>
        <w:spacing w:line="580" w:lineRule="exact"/>
        <w:ind w:firstLine="560" w:firstLineChars="200"/>
        <w:rPr>
          <w:rFonts w:hint="eastAsia" w:ascii="仿宋_GB2312" w:hAnsi="Times New Roman" w:eastAsia="仿宋_GB2312" w:cs="Times New Roman"/>
          <w:color w:val="auto"/>
          <w:sz w:val="28"/>
          <w:szCs w:val="28"/>
        </w:rPr>
      </w:pPr>
      <w:r>
        <w:rPr>
          <w:rFonts w:hint="eastAsia" w:ascii="仿宋_GB2312" w:eastAsia="仿宋_GB2312"/>
          <w:color w:val="auto"/>
          <w:sz w:val="28"/>
          <w:szCs w:val="28"/>
        </w:rPr>
        <w:t>“科学技术管理事务”202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highlight w:val="none"/>
          <w:lang w:val="en-US" w:eastAsia="zh-CN"/>
        </w:rPr>
        <w:t>5529.23</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4810.48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87.00</w:t>
      </w:r>
      <w:r>
        <w:rPr>
          <w:rFonts w:hint="eastAsia" w:ascii="仿宋_GB2312" w:eastAsia="仿宋_GB2312"/>
          <w:color w:val="auto"/>
          <w:sz w:val="28"/>
          <w:szCs w:val="28"/>
        </w:rPr>
        <w:t>%。</w:t>
      </w:r>
      <w:r>
        <w:rPr>
          <w:rFonts w:hint="eastAsia" w:ascii="仿宋_GB2312" w:hAnsi="Times New Roman" w:eastAsia="仿宋_GB2312" w:cs="Times New Roman"/>
          <w:color w:val="auto"/>
          <w:sz w:val="28"/>
          <w:szCs w:val="28"/>
        </w:rPr>
        <w:t>主要原因：</w:t>
      </w:r>
      <w:r>
        <w:rPr>
          <w:rFonts w:hint="eastAsia" w:ascii="仿宋_GB2312" w:eastAsia="仿宋_GB2312"/>
          <w:sz w:val="28"/>
          <w:szCs w:val="28"/>
        </w:rPr>
        <w:t>落实政府“过紧日子”要求，厉行勤俭节约，根据人员实际变化情况，压减相关经费支出。</w:t>
      </w:r>
    </w:p>
    <w:p>
      <w:pPr>
        <w:spacing w:line="580" w:lineRule="exact"/>
        <w:ind w:firstLine="560" w:firstLineChars="200"/>
        <w:rPr>
          <w:rFonts w:hint="eastAsia" w:ascii="仿宋_GB2312" w:hAnsi="Times New Roman" w:eastAsia="仿宋_GB2312" w:cs="Times New Roman"/>
          <w:color w:val="auto"/>
          <w:sz w:val="28"/>
          <w:szCs w:val="28"/>
        </w:rPr>
      </w:pPr>
      <w:r>
        <w:rPr>
          <w:rFonts w:hint="eastAsia" w:ascii="仿宋_GB2312" w:eastAsia="仿宋_GB2312"/>
          <w:color w:val="auto"/>
          <w:sz w:val="28"/>
          <w:szCs w:val="28"/>
        </w:rPr>
        <w:t>“科技交流与合作”202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173.14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170.74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98.61</w:t>
      </w:r>
      <w:r>
        <w:rPr>
          <w:rFonts w:hint="eastAsia" w:ascii="仿宋_GB2312" w:eastAsia="仿宋_GB2312"/>
          <w:color w:val="auto"/>
          <w:sz w:val="28"/>
          <w:szCs w:val="28"/>
        </w:rPr>
        <w:t>%。</w:t>
      </w:r>
      <w:r>
        <w:rPr>
          <w:rFonts w:hint="eastAsia" w:ascii="仿宋_GB2312" w:hAnsi="Times New Roman" w:eastAsia="仿宋_GB2312" w:cs="Times New Roman"/>
          <w:color w:val="auto"/>
          <w:sz w:val="28"/>
          <w:szCs w:val="28"/>
        </w:rPr>
        <w:t>主要原因：</w:t>
      </w:r>
      <w:r>
        <w:rPr>
          <w:rFonts w:hint="eastAsia" w:ascii="仿宋_GB2312" w:eastAsia="仿宋_GB2312"/>
          <w:sz w:val="28"/>
          <w:szCs w:val="28"/>
        </w:rPr>
        <w:t>落实政府“过紧日子”要求，各出访组团单位进一步优化压减出访预算，部分随外单位出访团组实际费用较预算降低。</w:t>
      </w:r>
    </w:p>
    <w:p>
      <w:pPr>
        <w:pStyle w:val="2"/>
        <w:numPr>
          <w:ilvl w:val="0"/>
          <w:numId w:val="1"/>
        </w:numPr>
        <w:rPr>
          <w:rFonts w:hint="eastAsia" w:ascii="仿宋_GB2312" w:eastAsia="仿宋_GB2312"/>
          <w:color w:val="auto"/>
          <w:sz w:val="28"/>
          <w:szCs w:val="28"/>
        </w:rPr>
      </w:pPr>
      <w:r>
        <w:rPr>
          <w:rFonts w:hint="eastAsia" w:ascii="仿宋_GB2312" w:eastAsia="仿宋_GB2312"/>
          <w:color w:val="auto"/>
          <w:sz w:val="28"/>
          <w:szCs w:val="28"/>
        </w:rPr>
        <w:t>“社会保障和就业支出”202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151.40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121.48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80.24</w:t>
      </w:r>
      <w:r>
        <w:rPr>
          <w:rFonts w:hint="eastAsia" w:ascii="仿宋_GB2312" w:eastAsia="仿宋_GB2312"/>
          <w:color w:val="auto"/>
          <w:sz w:val="28"/>
          <w:szCs w:val="28"/>
        </w:rPr>
        <w:t>%。其中：</w:t>
      </w:r>
    </w:p>
    <w:p>
      <w:pPr>
        <w:pStyle w:val="2"/>
        <w:numPr>
          <w:ilvl w:val="-1"/>
          <w:numId w:val="0"/>
        </w:numPr>
        <w:ind w:firstLine="560"/>
        <w:rPr>
          <w:color w:val="auto"/>
        </w:rPr>
      </w:pPr>
      <w:r>
        <w:rPr>
          <w:rFonts w:hint="eastAsia" w:ascii="仿宋_GB2312" w:eastAsia="仿宋_GB2312"/>
          <w:color w:val="auto"/>
          <w:sz w:val="28"/>
          <w:szCs w:val="28"/>
        </w:rPr>
        <w:t>“行政事业单位养老支出”202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151.40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121.48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80.24</w:t>
      </w:r>
      <w:r>
        <w:rPr>
          <w:rFonts w:hint="eastAsia" w:ascii="仿宋_GB2312" w:eastAsia="仿宋_GB2312"/>
          <w:color w:val="auto"/>
          <w:sz w:val="28"/>
          <w:szCs w:val="28"/>
        </w:rPr>
        <w:t>%。主要原因：</w:t>
      </w:r>
      <w:r>
        <w:rPr>
          <w:rFonts w:hint="eastAsia" w:ascii="仿宋_GB2312" w:eastAsia="仿宋_GB2312"/>
          <w:sz w:val="28"/>
          <w:szCs w:val="28"/>
        </w:rPr>
        <w:t>落实政府“过紧日子”要求，厉行勤俭节约，根据人员实际变化情况，压减相关经费支出。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lang w:eastAsia="zh-CN"/>
        </w:rPr>
        <w:t>本年度无此项</w:t>
      </w:r>
      <w:r>
        <w:rPr>
          <w:rFonts w:hint="eastAsia" w:ascii="仿宋_GB2312" w:eastAsia="仿宋_GB2312" w:cs="Times New Roman"/>
          <w:sz w:val="28"/>
          <w:szCs w:val="28"/>
          <w:lang w:val="en-US" w:eastAsia="zh-CN"/>
        </w:rPr>
        <w:t>经费</w:t>
      </w:r>
      <w:r>
        <w:rPr>
          <w:rFonts w:hint="eastAsia" w:ascii="仿宋_GB2312" w:hAnsi="Times New Roman" w:eastAsia="仿宋_GB2312" w:cs="Times New Roman"/>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lang w:eastAsia="zh-CN"/>
        </w:rPr>
        <w:t>本年度无此项</w:t>
      </w:r>
      <w:r>
        <w:rPr>
          <w:rFonts w:hint="eastAsia" w:ascii="仿宋_GB2312" w:eastAsia="仿宋_GB2312" w:cs="Times New Roman"/>
          <w:sz w:val="28"/>
          <w:szCs w:val="28"/>
          <w:lang w:val="en-US" w:eastAsia="zh-CN"/>
        </w:rPr>
        <w:t>经费</w:t>
      </w:r>
      <w:r>
        <w:rPr>
          <w:rFonts w:hint="eastAsia" w:ascii="仿宋_GB2312" w:hAnsi="Times New Roman" w:eastAsia="仿宋_GB2312" w:cs="Times New Roman"/>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4704.69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jc w:val="left"/>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205.4</w:t>
      </w:r>
      <w:r>
        <w:rPr>
          <w:rFonts w:hint="eastAsia" w:ascii="仿宋_GB2312" w:eastAsia="仿宋_GB2312"/>
          <w:sz w:val="28"/>
          <w:szCs w:val="28"/>
        </w:rPr>
        <w:t>万元减少</w:t>
      </w:r>
      <w:r>
        <w:rPr>
          <w:rFonts w:ascii="仿宋_GB2312" w:eastAsia="仿宋_GB2312"/>
          <w:sz w:val="28"/>
          <w:szCs w:val="28"/>
        </w:rPr>
        <w:t>19.4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170.74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173.14</w:t>
      </w:r>
      <w:r>
        <w:rPr>
          <w:rFonts w:hint="eastAsia" w:ascii="仿宋_GB2312" w:eastAsia="仿宋_GB2312"/>
          <w:sz w:val="28"/>
          <w:szCs w:val="28"/>
        </w:rPr>
        <w:t>万元减少</w:t>
      </w:r>
      <w:r>
        <w:rPr>
          <w:rFonts w:ascii="仿宋_GB2312" w:eastAsia="仿宋_GB2312"/>
          <w:sz w:val="28"/>
          <w:szCs w:val="28"/>
        </w:rPr>
        <w:t>2.4</w:t>
      </w:r>
      <w:r>
        <w:rPr>
          <w:rFonts w:hint="eastAsia" w:ascii="仿宋_GB2312" w:eastAsia="仿宋_GB2312"/>
          <w:sz w:val="28"/>
          <w:szCs w:val="28"/>
        </w:rPr>
        <w:t>万元。主要原因：落实政府“过紧日子”要求，各出访组团单位进一步优化压减出访预算，部分随外单位出访团组实际费用较预算降低</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2024年度因公出国（境）费用主要用于支持我委赴外开展国际科技交流合作工作，完成参加国际科技园区协会（IASP）2024年世界大会，组织赴德国“创新体系建设与管理”培训等各类因公出访任务。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12</w:t>
      </w:r>
      <w:r>
        <w:rPr>
          <w:rFonts w:hint="eastAsia" w:ascii="仿宋_GB2312" w:eastAsia="仿宋_GB2312"/>
          <w:sz w:val="28"/>
          <w:szCs w:val="28"/>
        </w:rPr>
        <w:t>个、</w:t>
      </w:r>
      <w:r>
        <w:rPr>
          <w:rFonts w:hint="eastAsia" w:ascii="仿宋_GB2312" w:eastAsia="仿宋_GB2312"/>
          <w:sz w:val="28"/>
          <w:szCs w:val="28"/>
          <w:lang w:eastAsia="zh-CN"/>
        </w:rPr>
        <w:t>33</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1.56</w:t>
      </w:r>
      <w:r>
        <w:rPr>
          <w:rFonts w:hint="eastAsia" w:ascii="仿宋_GB2312" w:eastAsia="仿宋_GB2312"/>
          <w:sz w:val="28"/>
          <w:szCs w:val="28"/>
        </w:rPr>
        <w:t>万元减少</w:t>
      </w:r>
      <w:r>
        <w:rPr>
          <w:rFonts w:ascii="仿宋_GB2312" w:eastAsia="仿宋_GB2312"/>
          <w:sz w:val="28"/>
          <w:szCs w:val="28"/>
        </w:rPr>
        <w:t>1.15</w:t>
      </w:r>
      <w:r>
        <w:rPr>
          <w:rFonts w:hint="eastAsia" w:ascii="仿宋_GB2312" w:eastAsia="仿宋_GB2312"/>
          <w:sz w:val="28"/>
          <w:szCs w:val="28"/>
        </w:rPr>
        <w:t>万元。主要原因：落实政府“过紧日子”要求，厉行勤俭节约，严格控制公务接待数量、规模和接待标准，公务接待费相应减少。2024年度公务接待费主要用于外省市学习交流调研接待事项、业务研讨以及迎接各相关单位监督检查等。公务接待</w:t>
      </w:r>
      <w:r>
        <w:rPr>
          <w:rFonts w:hint="eastAsia" w:ascii="仿宋_GB2312" w:eastAsia="仿宋_GB2312"/>
          <w:sz w:val="28"/>
          <w:szCs w:val="28"/>
          <w:lang w:eastAsia="zh-CN"/>
        </w:rPr>
        <w:t>3</w:t>
      </w:r>
      <w:r>
        <w:rPr>
          <w:rFonts w:hint="eastAsia" w:ascii="仿宋_GB2312" w:eastAsia="仿宋_GB2312"/>
          <w:sz w:val="28"/>
          <w:szCs w:val="28"/>
        </w:rPr>
        <w:t>批次，公务接待</w:t>
      </w:r>
      <w:r>
        <w:rPr>
          <w:rFonts w:hint="eastAsia" w:ascii="仿宋_GB2312" w:eastAsia="仿宋_GB2312"/>
          <w:sz w:val="28"/>
          <w:szCs w:val="28"/>
          <w:lang w:eastAsia="zh-CN"/>
        </w:rPr>
        <w:t>43</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14.86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30.7</w:t>
      </w:r>
      <w:r>
        <w:rPr>
          <w:rFonts w:hint="eastAsia" w:ascii="仿宋_GB2312" w:eastAsia="仿宋_GB2312"/>
          <w:sz w:val="28"/>
          <w:szCs w:val="28"/>
        </w:rPr>
        <w:t>万元减少</w:t>
      </w:r>
      <w:r>
        <w:rPr>
          <w:rFonts w:ascii="仿宋_GB2312" w:eastAsia="仿宋_GB2312"/>
          <w:sz w:val="28"/>
          <w:szCs w:val="28"/>
        </w:rPr>
        <w:t>15.84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14.86</w:t>
      </w:r>
      <w:r>
        <w:rPr>
          <w:rFonts w:hint="eastAsia" w:ascii="仿宋_GB2312" w:eastAsia="仿宋_GB2312"/>
          <w:sz w:val="28"/>
          <w:szCs w:val="28"/>
        </w:rPr>
        <w:t>万元，主要原因：</w:t>
      </w:r>
      <w:r>
        <w:rPr>
          <w:rFonts w:hint="eastAsia" w:ascii="仿宋_GB2312" w:eastAsia="仿宋_GB2312"/>
          <w:sz w:val="28"/>
          <w:szCs w:val="28"/>
          <w:highlight w:val="none"/>
        </w:rPr>
        <w:t>落实政府“过紧日子”要求，厉行勤俭节约，严格控制相关经费支出。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344.9</w:t>
      </w:r>
      <w:r>
        <w:rPr>
          <w:rFonts w:hint="eastAsia" w:ascii="仿宋_GB2312" w:eastAsia="仿宋_GB2312"/>
          <w:sz w:val="28"/>
          <w:szCs w:val="28"/>
        </w:rPr>
        <w:t>万元，比上年减少</w:t>
      </w:r>
      <w:r>
        <w:rPr>
          <w:rFonts w:hint="eastAsia" w:ascii="仿宋_GB2312" w:eastAsia="仿宋_GB2312"/>
          <w:sz w:val="28"/>
          <w:szCs w:val="28"/>
          <w:lang w:val="en-US" w:eastAsia="zh-CN"/>
        </w:rPr>
        <w:t>8.22</w:t>
      </w:r>
      <w:r>
        <w:rPr>
          <w:rFonts w:hint="eastAsia" w:ascii="仿宋_GB2312" w:eastAsia="仿宋_GB2312"/>
          <w:sz w:val="28"/>
          <w:szCs w:val="28"/>
        </w:rPr>
        <w:t>万元，减少原因：落实政府“过紧日子”要求，厉行勤俭节约，严格控制相关经费支出。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114.62</w:t>
      </w:r>
      <w:r>
        <w:rPr>
          <w:rFonts w:hint="eastAsia" w:ascii="仿宋_GB2312" w:eastAsia="仿宋_GB2312"/>
          <w:sz w:val="28"/>
          <w:szCs w:val="28"/>
        </w:rPr>
        <w:t>万元，其中：政府采购货物支出</w:t>
      </w:r>
      <w:r>
        <w:rPr>
          <w:rFonts w:ascii="仿宋_GB2312" w:eastAsia="仿宋_GB2312"/>
          <w:sz w:val="28"/>
          <w:szCs w:val="28"/>
        </w:rPr>
        <w:t>5.39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109.23</w:t>
      </w:r>
      <w:r>
        <w:rPr>
          <w:rFonts w:hint="eastAsia" w:ascii="仿宋_GB2312" w:eastAsia="仿宋_GB2312"/>
          <w:sz w:val="28"/>
          <w:szCs w:val="28"/>
        </w:rPr>
        <w:t>万元。授予中小企业合同金额</w:t>
      </w:r>
      <w:r>
        <w:rPr>
          <w:rFonts w:ascii="仿宋_GB2312" w:eastAsia="仿宋_GB2312"/>
          <w:sz w:val="28"/>
          <w:szCs w:val="28"/>
        </w:rPr>
        <w:t>106.1</w:t>
      </w:r>
      <w:r>
        <w:rPr>
          <w:rFonts w:hint="eastAsia" w:ascii="仿宋_GB2312" w:eastAsia="仿宋_GB2312"/>
          <w:sz w:val="28"/>
          <w:szCs w:val="28"/>
        </w:rPr>
        <w:t>万元，占政府采购支出总额的</w:t>
      </w:r>
      <w:r>
        <w:rPr>
          <w:rFonts w:hint="eastAsia" w:ascii="仿宋_GB2312" w:eastAsia="仿宋_GB2312"/>
          <w:sz w:val="28"/>
          <w:szCs w:val="28"/>
          <w:lang w:eastAsia="zh-CN"/>
        </w:rPr>
        <w:t>92.57</w:t>
      </w:r>
      <w:r>
        <w:rPr>
          <w:rFonts w:hint="eastAsia" w:ascii="仿宋_GB2312" w:eastAsia="仿宋_GB2312"/>
          <w:sz w:val="28"/>
          <w:szCs w:val="28"/>
        </w:rPr>
        <w:t>%，其中：授予小微企业合同金额</w:t>
      </w:r>
      <w:r>
        <w:rPr>
          <w:rFonts w:ascii="仿宋_GB2312" w:eastAsia="仿宋_GB2312"/>
          <w:sz w:val="28"/>
          <w:szCs w:val="28"/>
        </w:rPr>
        <w:t>78.76</w:t>
      </w:r>
      <w:r>
        <w:rPr>
          <w:rFonts w:hint="eastAsia" w:ascii="仿宋_GB2312" w:eastAsia="仿宋_GB2312"/>
          <w:sz w:val="28"/>
          <w:szCs w:val="28"/>
        </w:rPr>
        <w:t>万元，占政府采购支出总额的</w:t>
      </w:r>
      <w:r>
        <w:rPr>
          <w:rFonts w:ascii="仿宋_GB2312" w:eastAsia="仿宋_GB2312"/>
          <w:sz w:val="28"/>
          <w:szCs w:val="28"/>
        </w:rPr>
        <w:t>68.72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12月31日，北京市科学技术委员会本级行政</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政府购买服务决算60.8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spacing w:line="240" w:lineRule="auto"/>
        <w:ind w:firstLine="560" w:firstLineChars="200"/>
        <w:rPr>
          <w:rFonts w:hint="eastAsia" w:ascii="仿宋_GB2312" w:eastAsia="仿宋_GB2312"/>
          <w:color w:val="auto"/>
          <w:sz w:val="28"/>
          <w:szCs w:val="28"/>
          <w:highlight w:val="none"/>
        </w:rPr>
      </w:pPr>
      <w:r>
        <w:rPr>
          <w:rFonts w:hint="eastAsia" w:ascii="仿宋_GB2312" w:eastAsia="仿宋_GB2312"/>
          <w:sz w:val="28"/>
          <w:szCs w:val="28"/>
          <w:lang w:val="en-US" w:eastAsia="zh-CN"/>
        </w:rPr>
        <w:t>7.</w:t>
      </w:r>
      <w:r>
        <w:rPr>
          <w:rFonts w:hint="eastAsia" w:ascii="仿宋_GB2312" w:eastAsia="仿宋_GB2312"/>
          <w:color w:val="auto"/>
          <w:sz w:val="28"/>
          <w:szCs w:val="28"/>
          <w:highlight w:val="none"/>
        </w:rPr>
        <w:t>支出功能分类项级科目名词解释：</w:t>
      </w:r>
    </w:p>
    <w:p>
      <w:pPr>
        <w:spacing w:line="6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（1）教育支出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进修及培训</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培训支出：</w:t>
      </w:r>
      <w:r>
        <w:rPr>
          <w:rFonts w:hint="eastAsia" w:ascii="仿宋_GB2312" w:hAnsi="仿宋_GB2312" w:eastAsia="仿宋_GB2312" w:cs="仿宋_GB2312"/>
          <w:sz w:val="28"/>
          <w:szCs w:val="28"/>
          <w:highlight w:val="none"/>
          <w:lang w:val="en" w:eastAsia="zh-CN"/>
        </w:rPr>
        <w:t>反映各部门安排的用于培训的支出。</w:t>
      </w:r>
    </w:p>
    <w:p>
      <w:pPr>
        <w:spacing w:line="6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（2）科学技术支出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科学技术管理事务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行政运行：反映行政单位（包括实行公务员管理的事业单位）的基本支出。</w:t>
      </w:r>
    </w:p>
    <w:p>
      <w:pPr>
        <w:spacing w:line="6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（3）科学技术支出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科学技术管理事务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其他科学技术管理事务支出：反映除上述项目以外其他用于科学技术管理事务方面的支出。</w:t>
      </w:r>
    </w:p>
    <w:p>
      <w:pPr>
        <w:spacing w:line="6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）科学技术支出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科技交流与合作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国际交流与合作：反映为提升国家科技水平与国外政府和国际组织开展合作研究、科技交流等方面的支出。</w:t>
      </w:r>
    </w:p>
    <w:p>
      <w:pPr>
        <w:numPr>
          <w:ilvl w:val="0"/>
          <w:numId w:val="0"/>
        </w:numPr>
        <w:ind w:firstLine="560" w:firstLineChars="200"/>
        <w:rPr>
          <w:rFonts w:ascii="宋体" w:hAnsi="宋体" w:cs="宋体"/>
          <w:b/>
          <w:bCs/>
          <w:kern w:val="0"/>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）社会保障和就业支出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行政事业单位养老支出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行政单位离退休：</w:t>
      </w:r>
      <w:r>
        <w:rPr>
          <w:rFonts w:hint="eastAsia" w:ascii="仿宋_GB2312" w:hAnsi="宋体" w:eastAsia="仿宋_GB2312"/>
          <w:sz w:val="28"/>
          <w:szCs w:val="28"/>
          <w:lang w:val="en-US" w:eastAsia="zh-CN"/>
        </w:rPr>
        <w:t>反映行政单位（包括实行公务员管理的事业单位）开支的离退休经费。</w:t>
      </w:r>
    </w:p>
    <w:p>
      <w:pPr>
        <w:tabs>
          <w:tab w:val="center" w:pos="6979"/>
        </w:tabs>
        <w:spacing w:line="380" w:lineRule="exact"/>
        <w:jc w:val="center"/>
        <w:rPr>
          <w:rFonts w:ascii="宋体" w:hAnsi="宋体" w:cs="宋体"/>
          <w:b/>
          <w:bCs/>
          <w:kern w:val="0"/>
          <w:sz w:val="28"/>
          <w:szCs w:val="28"/>
        </w:rPr>
      </w:pPr>
    </w:p>
    <w:p>
      <w:pPr>
        <w:rPr>
          <w:rFonts w:hint="eastAsia" w:ascii="黑体" w:eastAsia="黑体"/>
          <w:sz w:val="32"/>
          <w:szCs w:val="32"/>
        </w:rPr>
      </w:pPr>
      <w:r>
        <w:rPr>
          <w:rFonts w:hint="eastAsia" w:ascii="黑体" w:eastAsia="黑体"/>
          <w:sz w:val="32"/>
          <w:szCs w:val="32"/>
        </w:rPr>
        <w:br w:type="page"/>
      </w:r>
    </w:p>
    <w:p>
      <w:pPr>
        <w:pStyle w:val="2"/>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3D3FB224"/>
    <w:multiLevelType w:val="singleLevel"/>
    <w:tmpl w:val="3D3FB224"/>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4FFB"/>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CD3FD8"/>
    <w:rsid w:val="0687687D"/>
    <w:rsid w:val="079004AC"/>
    <w:rsid w:val="07E35D35"/>
    <w:rsid w:val="0BA148CA"/>
    <w:rsid w:val="0C1165C4"/>
    <w:rsid w:val="0CC06645"/>
    <w:rsid w:val="0D5B4A77"/>
    <w:rsid w:val="0D6D544B"/>
    <w:rsid w:val="0DD136FE"/>
    <w:rsid w:val="0F2904D1"/>
    <w:rsid w:val="0F8E2C57"/>
    <w:rsid w:val="1059665E"/>
    <w:rsid w:val="10AC13BA"/>
    <w:rsid w:val="11DF30C9"/>
    <w:rsid w:val="12670ADD"/>
    <w:rsid w:val="145A6C1B"/>
    <w:rsid w:val="14B73493"/>
    <w:rsid w:val="1604435F"/>
    <w:rsid w:val="167A2FF9"/>
    <w:rsid w:val="16C55D31"/>
    <w:rsid w:val="17342109"/>
    <w:rsid w:val="17A80401"/>
    <w:rsid w:val="18581C69"/>
    <w:rsid w:val="1AEC0734"/>
    <w:rsid w:val="1B9932FD"/>
    <w:rsid w:val="1DEF20B0"/>
    <w:rsid w:val="214243FA"/>
    <w:rsid w:val="21701F90"/>
    <w:rsid w:val="21AD613C"/>
    <w:rsid w:val="22467189"/>
    <w:rsid w:val="257A14F5"/>
    <w:rsid w:val="27196C26"/>
    <w:rsid w:val="280671AA"/>
    <w:rsid w:val="29EF086F"/>
    <w:rsid w:val="29FA2D3E"/>
    <w:rsid w:val="2A3049B2"/>
    <w:rsid w:val="2E380E50"/>
    <w:rsid w:val="2E76670C"/>
    <w:rsid w:val="2EFFE297"/>
    <w:rsid w:val="301437CA"/>
    <w:rsid w:val="349D1F0A"/>
    <w:rsid w:val="34DD0473"/>
    <w:rsid w:val="392361C7"/>
    <w:rsid w:val="3984249C"/>
    <w:rsid w:val="399B3B29"/>
    <w:rsid w:val="3A425253"/>
    <w:rsid w:val="3C684897"/>
    <w:rsid w:val="3E047890"/>
    <w:rsid w:val="3E1A5671"/>
    <w:rsid w:val="3EF7F96F"/>
    <w:rsid w:val="423078E0"/>
    <w:rsid w:val="425A6618"/>
    <w:rsid w:val="433E495C"/>
    <w:rsid w:val="43AF64F0"/>
    <w:rsid w:val="44C43BE6"/>
    <w:rsid w:val="44FA19ED"/>
    <w:rsid w:val="453413AE"/>
    <w:rsid w:val="46CA1CB5"/>
    <w:rsid w:val="48230E62"/>
    <w:rsid w:val="489F2FD7"/>
    <w:rsid w:val="49F904C5"/>
    <w:rsid w:val="4A612992"/>
    <w:rsid w:val="4A927793"/>
    <w:rsid w:val="4AC27CB3"/>
    <w:rsid w:val="4BF72BEF"/>
    <w:rsid w:val="4D551EB6"/>
    <w:rsid w:val="4DA06E58"/>
    <w:rsid w:val="4EE2777A"/>
    <w:rsid w:val="4FA90297"/>
    <w:rsid w:val="4FC41A43"/>
    <w:rsid w:val="51DB3C59"/>
    <w:rsid w:val="520D1A6F"/>
    <w:rsid w:val="530C3017"/>
    <w:rsid w:val="54A5234F"/>
    <w:rsid w:val="550C0952"/>
    <w:rsid w:val="55236D3E"/>
    <w:rsid w:val="55762E42"/>
    <w:rsid w:val="55CC0C67"/>
    <w:rsid w:val="56293EE0"/>
    <w:rsid w:val="56D8660A"/>
    <w:rsid w:val="57A7B272"/>
    <w:rsid w:val="58470068"/>
    <w:rsid w:val="58747CAC"/>
    <w:rsid w:val="591A659F"/>
    <w:rsid w:val="59817BB7"/>
    <w:rsid w:val="5A1720F9"/>
    <w:rsid w:val="5B4A42EA"/>
    <w:rsid w:val="5B7E6A7C"/>
    <w:rsid w:val="5B9C37C2"/>
    <w:rsid w:val="5BA7C654"/>
    <w:rsid w:val="5D7B36EF"/>
    <w:rsid w:val="5E3F1A4D"/>
    <w:rsid w:val="5E4A0E97"/>
    <w:rsid w:val="5ED903A7"/>
    <w:rsid w:val="5F6908A3"/>
    <w:rsid w:val="5F6D4912"/>
    <w:rsid w:val="5FF97FD7"/>
    <w:rsid w:val="60352A47"/>
    <w:rsid w:val="60A54109"/>
    <w:rsid w:val="610A2B60"/>
    <w:rsid w:val="611008D8"/>
    <w:rsid w:val="61C55405"/>
    <w:rsid w:val="61D01CDF"/>
    <w:rsid w:val="62744735"/>
    <w:rsid w:val="63A7017E"/>
    <w:rsid w:val="64030466"/>
    <w:rsid w:val="64C0607C"/>
    <w:rsid w:val="651F307E"/>
    <w:rsid w:val="65756C86"/>
    <w:rsid w:val="665E1984"/>
    <w:rsid w:val="674D385B"/>
    <w:rsid w:val="676F09E1"/>
    <w:rsid w:val="6C314D81"/>
    <w:rsid w:val="704D2BDC"/>
    <w:rsid w:val="71504CA9"/>
    <w:rsid w:val="71793A80"/>
    <w:rsid w:val="72665FD0"/>
    <w:rsid w:val="7357290B"/>
    <w:rsid w:val="741C69DA"/>
    <w:rsid w:val="748A5165"/>
    <w:rsid w:val="780B6A75"/>
    <w:rsid w:val="79096067"/>
    <w:rsid w:val="797F3C93"/>
    <w:rsid w:val="798524E4"/>
    <w:rsid w:val="7A7F1C49"/>
    <w:rsid w:val="7AE065D8"/>
    <w:rsid w:val="7B430CF1"/>
    <w:rsid w:val="7B5B7AE6"/>
    <w:rsid w:val="7B7B6628"/>
    <w:rsid w:val="7BA7071E"/>
    <w:rsid w:val="7BB1084B"/>
    <w:rsid w:val="7BDF6DA8"/>
    <w:rsid w:val="7C2247B1"/>
    <w:rsid w:val="7C7EDC1A"/>
    <w:rsid w:val="7C9C2DAE"/>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manualLayout>
          <c:xMode val="edge"/>
          <c:yMode val="edge"/>
          <c:x val="0.404672015101463"/>
          <c:y val="0.0299972729751841"/>
        </c:manualLayout>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5533.58</c:v>
                </c:pt>
                <c:pt idx="1">
                  <c:v>0</c:v>
                </c:pt>
                <c:pt idx="2">
                  <c:v>0</c:v>
                </c:pt>
                <c:pt idx="3">
                  <c:v>0</c:v>
                </c:pt>
                <c:pt idx="4">
                  <c:v>0</c:v>
                </c:pt>
                <c:pt idx="5">
                  <c:v>0</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egendEntry>
        <c:idx val="5"/>
        <c:delete val="true"/>
      </c:legendEntry>
      <c:layout>
        <c:manualLayout>
          <c:xMode val="edge"/>
          <c:yMode val="edge"/>
          <c:x val="0.742331288343558"/>
          <c:y val="0.377692937005727"/>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1"/>
              <c:layout>
                <c:manualLayout>
                  <c:x val="-0.0462662572111235"/>
                  <c:y val="0.00718025464018479"/>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4704.69</c:v>
                </c:pt>
                <c:pt idx="1">
                  <c:v>414.7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3319</Words>
  <Characters>3417</Characters>
  <Lines>44</Lines>
  <Paragraphs>12</Paragraphs>
  <TotalTime>54</TotalTime>
  <ScaleCrop>false</ScaleCrop>
  <LinksUpToDate>false</LinksUpToDate>
  <CharactersWithSpaces>3485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user</cp:lastModifiedBy>
  <cp:lastPrinted>2020-08-07T19:39:00Z</cp:lastPrinted>
  <dcterms:modified xsi:type="dcterms:W3CDTF">2025-09-08T19:20:37Z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5155A94EEA8F4D7699D6F2A2729EA165_13</vt:lpwstr>
  </property>
  <property fmtid="{D5CDD505-2E9C-101B-9397-08002B2CF9AE}" pid="4" name="KSOTemplateDocerSaveRecord">
    <vt:lpwstr>eyJoZGlkIjoiYjQ2NjM5NzU5NDU5MTEwZGYzN2Q1ZjcwZDM0ZGZhYWMiLCJ1c2VySWQiOiIzMDg1Mjg3ODAifQ==</vt:lpwstr>
  </property>
</Properties>
</file>