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A8B" w:rsidRDefault="00633A8B">
      <w:pPr>
        <w:jc w:val="center"/>
        <w:rPr>
          <w:rFonts w:ascii="仿宋_GB2312" w:eastAsia="仿宋_GB2312"/>
          <w:b/>
          <w:sz w:val="32"/>
          <w:szCs w:val="32"/>
        </w:rPr>
      </w:pPr>
    </w:p>
    <w:p w:rsidR="00633A8B" w:rsidRDefault="00633A8B">
      <w:pPr>
        <w:jc w:val="center"/>
        <w:rPr>
          <w:rFonts w:ascii="黑体" w:eastAsia="黑体"/>
          <w:sz w:val="72"/>
          <w:szCs w:val="72"/>
        </w:rPr>
      </w:pPr>
    </w:p>
    <w:p w:rsidR="00633A8B" w:rsidRDefault="00633A8B">
      <w:pPr>
        <w:jc w:val="center"/>
        <w:rPr>
          <w:rFonts w:ascii="黑体" w:eastAsia="黑体"/>
          <w:sz w:val="72"/>
          <w:szCs w:val="72"/>
        </w:rPr>
      </w:pPr>
    </w:p>
    <w:p w:rsidR="00633A8B" w:rsidRDefault="00633A8B">
      <w:pPr>
        <w:jc w:val="center"/>
        <w:rPr>
          <w:rFonts w:ascii="黑体" w:eastAsia="黑体"/>
          <w:sz w:val="72"/>
          <w:szCs w:val="72"/>
        </w:rPr>
      </w:pPr>
    </w:p>
    <w:p w:rsidR="00633A8B" w:rsidRDefault="00633A8B">
      <w:pPr>
        <w:jc w:val="center"/>
        <w:rPr>
          <w:rFonts w:ascii="黑体" w:eastAsia="黑体"/>
          <w:sz w:val="72"/>
          <w:szCs w:val="72"/>
        </w:rPr>
      </w:pPr>
    </w:p>
    <w:p w:rsidR="00633A8B" w:rsidRDefault="00836776">
      <w:pPr>
        <w:jc w:val="center"/>
        <w:rPr>
          <w:rFonts w:ascii="黑体" w:eastAsia="黑体"/>
          <w:sz w:val="72"/>
          <w:szCs w:val="72"/>
        </w:rPr>
      </w:pPr>
      <w:r>
        <w:rPr>
          <w:rFonts w:ascii="黑体" w:eastAsia="黑体" w:hint="eastAsia"/>
          <w:sz w:val="72"/>
          <w:szCs w:val="72"/>
        </w:rPr>
        <w:t>2024年度部门决</w:t>
      </w:r>
      <w:bookmarkStart w:id="0" w:name="_GoBack"/>
      <w:bookmarkEnd w:id="0"/>
      <w:r>
        <w:rPr>
          <w:rFonts w:ascii="黑体" w:eastAsia="黑体" w:hint="eastAsia"/>
          <w:sz w:val="72"/>
          <w:szCs w:val="72"/>
        </w:rPr>
        <w:t>算（公开</w:t>
      </w:r>
      <w:r>
        <w:rPr>
          <w:rFonts w:ascii="黑体" w:eastAsia="黑体"/>
          <w:sz w:val="72"/>
          <w:szCs w:val="72"/>
        </w:rPr>
        <w:t>）</w:t>
      </w:r>
    </w:p>
    <w:p w:rsidR="00633A8B" w:rsidRDefault="00633A8B">
      <w:pPr>
        <w:jc w:val="center"/>
        <w:rPr>
          <w:rFonts w:ascii="黑体" w:eastAsia="黑体"/>
          <w:sz w:val="52"/>
          <w:szCs w:val="52"/>
        </w:rPr>
      </w:pPr>
    </w:p>
    <w:p w:rsidR="00633A8B" w:rsidRDefault="00633A8B">
      <w:pPr>
        <w:jc w:val="center"/>
        <w:rPr>
          <w:rFonts w:ascii="黑体" w:eastAsia="黑体"/>
          <w:sz w:val="52"/>
          <w:szCs w:val="52"/>
        </w:rPr>
      </w:pPr>
    </w:p>
    <w:p w:rsidR="00633A8B" w:rsidRDefault="00633A8B">
      <w:pPr>
        <w:jc w:val="center"/>
        <w:rPr>
          <w:rFonts w:ascii="黑体" w:eastAsia="黑体"/>
          <w:sz w:val="52"/>
          <w:szCs w:val="52"/>
        </w:rPr>
      </w:pPr>
    </w:p>
    <w:p w:rsidR="00633A8B" w:rsidRDefault="00633A8B">
      <w:pPr>
        <w:jc w:val="center"/>
        <w:rPr>
          <w:rFonts w:ascii="黑体" w:eastAsia="黑体"/>
          <w:sz w:val="52"/>
          <w:szCs w:val="52"/>
        </w:rPr>
      </w:pPr>
    </w:p>
    <w:p w:rsidR="00633A8B" w:rsidRDefault="00633A8B">
      <w:pPr>
        <w:jc w:val="center"/>
        <w:rPr>
          <w:rFonts w:ascii="黑体" w:eastAsia="黑体"/>
          <w:sz w:val="32"/>
          <w:szCs w:val="32"/>
        </w:rPr>
      </w:pPr>
    </w:p>
    <w:p w:rsidR="00633A8B" w:rsidRDefault="0083677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33A8B" w:rsidRDefault="00633A8B">
      <w:pPr>
        <w:spacing w:line="500" w:lineRule="exact"/>
        <w:ind w:firstLine="645"/>
        <w:jc w:val="center"/>
        <w:rPr>
          <w:rFonts w:ascii="宋体" w:hAnsi="宋体" w:cs="宋体"/>
          <w:b/>
          <w:bCs/>
          <w:kern w:val="0"/>
          <w:sz w:val="36"/>
          <w:szCs w:val="36"/>
        </w:rPr>
      </w:pPr>
    </w:p>
    <w:p w:rsidR="00633A8B" w:rsidRDefault="0083677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633A8B" w:rsidRDefault="0083677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33A8B" w:rsidRDefault="008367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633A8B" w:rsidRDefault="0083677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633A8B" w:rsidRDefault="0083677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633A8B" w:rsidRDefault="0083677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633A8B" w:rsidRDefault="00633A8B" w:rsidP="006E5CDC">
      <w:pPr>
        <w:tabs>
          <w:tab w:val="center" w:pos="6979"/>
        </w:tabs>
        <w:spacing w:beforeLines="50" w:afterLines="50"/>
        <w:jc w:val="center"/>
        <w:rPr>
          <w:rFonts w:ascii="宋体" w:hAnsi="宋体" w:cs="宋体"/>
          <w:b/>
          <w:bCs/>
          <w:spacing w:val="40"/>
          <w:kern w:val="0"/>
          <w:sz w:val="32"/>
          <w:szCs w:val="32"/>
        </w:rPr>
      </w:pPr>
    </w:p>
    <w:p w:rsidR="00633A8B" w:rsidRDefault="00633A8B" w:rsidP="006E5CDC">
      <w:pPr>
        <w:tabs>
          <w:tab w:val="center" w:pos="6979"/>
        </w:tabs>
        <w:spacing w:beforeLines="50" w:afterLines="50"/>
        <w:jc w:val="center"/>
        <w:rPr>
          <w:rFonts w:ascii="宋体" w:hAnsi="宋体" w:cs="宋体"/>
          <w:b/>
          <w:bCs/>
          <w:spacing w:val="40"/>
          <w:kern w:val="0"/>
          <w:sz w:val="32"/>
          <w:szCs w:val="32"/>
        </w:rPr>
      </w:pPr>
    </w:p>
    <w:p w:rsidR="00633A8B" w:rsidRDefault="00633A8B" w:rsidP="006E5CDC">
      <w:pPr>
        <w:tabs>
          <w:tab w:val="center" w:pos="6979"/>
        </w:tabs>
        <w:spacing w:beforeLines="50" w:afterLines="50"/>
        <w:jc w:val="center"/>
        <w:rPr>
          <w:rFonts w:ascii="宋体" w:hAnsi="宋体" w:cs="宋体"/>
          <w:b/>
          <w:bCs/>
          <w:spacing w:val="40"/>
          <w:kern w:val="0"/>
          <w:sz w:val="32"/>
          <w:szCs w:val="32"/>
        </w:rPr>
      </w:pPr>
    </w:p>
    <w:p w:rsidR="00633A8B" w:rsidRDefault="00633A8B" w:rsidP="006E5CDC">
      <w:pPr>
        <w:tabs>
          <w:tab w:val="center" w:pos="6979"/>
        </w:tabs>
        <w:spacing w:beforeLines="50" w:afterLines="50"/>
        <w:jc w:val="center"/>
        <w:rPr>
          <w:rFonts w:ascii="宋体" w:hAnsi="宋体" w:cs="宋体"/>
          <w:b/>
          <w:bCs/>
          <w:spacing w:val="40"/>
          <w:kern w:val="0"/>
          <w:sz w:val="32"/>
          <w:szCs w:val="32"/>
        </w:rPr>
      </w:pPr>
    </w:p>
    <w:p w:rsidR="00633A8B" w:rsidRDefault="00633A8B" w:rsidP="006E5CDC">
      <w:pPr>
        <w:tabs>
          <w:tab w:val="center" w:pos="6979"/>
        </w:tabs>
        <w:spacing w:beforeLines="50" w:afterLines="50"/>
        <w:jc w:val="center"/>
        <w:rPr>
          <w:rFonts w:ascii="宋体" w:hAnsi="宋体" w:cs="宋体"/>
          <w:b/>
          <w:bCs/>
          <w:spacing w:val="40"/>
          <w:kern w:val="0"/>
          <w:sz w:val="32"/>
          <w:szCs w:val="32"/>
        </w:rPr>
      </w:pPr>
    </w:p>
    <w:p w:rsidR="008B212D" w:rsidRDefault="00836776" w:rsidP="006E5CDC">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633A8B" w:rsidRDefault="00836776">
      <w:pPr>
        <w:pStyle w:val="2"/>
        <w:rPr>
          <w:b w:val="0"/>
          <w:bCs w:val="0"/>
        </w:rPr>
        <w:sectPr w:rsidR="00633A8B">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33A8B" w:rsidRDefault="00836776" w:rsidP="006E5CDC">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8B212D" w:rsidRDefault="0083677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633A8B" w:rsidRDefault="00836776">
      <w:pPr>
        <w:pStyle w:val="aa"/>
        <w:widowControl/>
        <w:shd w:val="clear" w:color="auto" w:fill="FFFFFF"/>
        <w:spacing w:before="0" w:beforeAutospacing="0" w:after="0" w:afterAutospacing="0" w:line="600" w:lineRule="atLeast"/>
        <w:ind w:right="0" w:firstLineChars="200" w:firstLine="560"/>
        <w:jc w:val="both"/>
        <w:textAlignment w:val="baseline"/>
        <w:rPr>
          <w:rFonts w:ascii="仿宋_GB2312" w:eastAsia="仿宋_GB2312"/>
          <w:b w:val="0"/>
          <w:kern w:val="2"/>
          <w:sz w:val="28"/>
          <w:szCs w:val="28"/>
        </w:rPr>
      </w:pPr>
      <w:r>
        <w:rPr>
          <w:rFonts w:ascii="仿宋_GB2312" w:eastAsia="仿宋_GB2312" w:hint="eastAsia"/>
          <w:b w:val="0"/>
          <w:kern w:val="2"/>
          <w:sz w:val="28"/>
          <w:szCs w:val="28"/>
        </w:rPr>
        <w:t>北京市科学技术委员会（简称市科委）是市政府组成部门，挂北京市外国专家局（简称市外专局）牌子；中关村科技园区管理委员会（简称中关村管委会）是市政府派出机构。市科委与中关村管委会合署办公，为正局级。</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市科委、中关村管委会贯彻落实党中央关于科技创新工作的方针政策、决策部署和市委有关工作要求，在履行职责过程中坚持和加强党对科技创新工作的集中统一领导。主要职责是：</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1、贯彻落实国家创新驱动发展战略和科技工作的法律法规、规章和政策，起草本市相关地方性法规草案、政府规章草案，组织拟订相关政策措施并组织实施。</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2、牵头推进国际科技创新中心建设。承担北京推进科技创新中心建设办公室秘书处职能，组织拟订相关工作方案及年度计划，并开展监督落实。</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4、推进本市重大科技决策咨询制度建设。负责提出科技发展战略建议。提出科技发展布局和优先发展领域。拟订促进科技文化融合发展、科学普及、科学传播规划政策并组织实施。</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lastRenderedPageBreak/>
        <w:t xml:space="preserve">　　5、拟订本市基础研究规划、政策并组织实施，组织协调基础研究和应用基础研究。参与重大科技基础设施建设和运行。提出科研条件保障规划和政策建议，推进科研条件保障建设和科技资源开放共享。</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8、组织拟订本市高新技术发展及产业化、科技服务业、科技促进城市发展的规划、政策及措施。</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11、负责本市科技监督评价体系建设和相关科技评估管理，统筹开展全市科研诚信建设工作。开展科技评估评价和监督检查工作。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lastRenderedPageBreak/>
        <w:t xml:space="preserve">　　12、负责本市引进国外智力工作。拟订引进外国专家规划、计划并组织实施。建立外国顶尖科学家及其团队、外国科技人才吸引集聚机制和重点外国专家联系服务机制。拟订出国（境）培训规划、年度计划和政策，并组织实施。</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13、拟订本市科技人才队伍建设规划和政策，建立健全科技人才评价和激励机制，组织实施科技人才计划，推动高端科技创新人才队伍建设，统筹推进中关村科技园区人才工作。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14、指导各区科技创新工作，联系市有关部门科技创新工作。统筹推进本市与各省区市的科技领域交流合作、科技协作和支援合作工作。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16、负责中关村科技园区发展建设工作，承担统筹、规划、组织、协调、服务中关村国家自主创新示范区建设与发展的有关具体工作。组织研究园区发展规划、政策及相关改革方案，并协调落实。</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17、组织落实国家和本市促进高新技术产业开发区发展的政策措施，开展中关村科技园区创新创业、高新技术研发及其成果产业化、社会组织发展、知识产权等方面的促进和服务工作，培育战略性新兴产业、未来产业。</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lastRenderedPageBreak/>
        <w:t xml:space="preserve">　　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w:t>
      </w:r>
      <w:proofErr w:type="gramStart"/>
      <w:r>
        <w:rPr>
          <w:rFonts w:ascii="仿宋_GB2312" w:eastAsia="仿宋_GB2312" w:hint="eastAsia"/>
          <w:b w:val="0"/>
          <w:kern w:val="2"/>
          <w:sz w:val="28"/>
          <w:szCs w:val="28"/>
        </w:rPr>
        <w:t>各园高端化</w:t>
      </w:r>
      <w:proofErr w:type="gramEnd"/>
      <w:r>
        <w:rPr>
          <w:rFonts w:ascii="仿宋_GB2312" w:eastAsia="仿宋_GB2312" w:hint="eastAsia"/>
          <w:b w:val="0"/>
          <w:kern w:val="2"/>
          <w:sz w:val="28"/>
          <w:szCs w:val="28"/>
        </w:rPr>
        <w:t>、特色化、差异化发展，服务区域协调发展。</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19、完成市委、市政府交办的其他任务。</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20、职能转变。</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lastRenderedPageBreak/>
        <w:t xml:space="preserve">　　（4）全面促进科技成果转化。加强对创新主体的支持，促进产学研深度融合，加快科技成果转化。提升中关村科技园区自主创新能力建设，推动关键技术的示范应用，支撑高精尖产业高质量发展。</w:t>
      </w:r>
    </w:p>
    <w:p w:rsidR="00633A8B" w:rsidRDefault="00836776">
      <w:pPr>
        <w:pStyle w:val="aa"/>
        <w:widowControl/>
        <w:shd w:val="clear" w:color="auto" w:fill="FFFFFF"/>
        <w:spacing w:before="0" w:beforeAutospacing="0" w:after="0" w:afterAutospacing="0" w:line="600" w:lineRule="atLeast"/>
        <w:ind w:right="0"/>
        <w:jc w:val="both"/>
        <w:textAlignment w:val="baseline"/>
        <w:rPr>
          <w:rFonts w:ascii="仿宋_GB2312" w:eastAsia="仿宋_GB2312"/>
          <w:b w:val="0"/>
          <w:kern w:val="2"/>
          <w:sz w:val="28"/>
          <w:szCs w:val="28"/>
        </w:rPr>
      </w:pPr>
      <w:r>
        <w:rPr>
          <w:rFonts w:ascii="仿宋_GB2312" w:eastAsia="仿宋_GB2312" w:hint="eastAsia"/>
          <w:b w:val="0"/>
          <w:kern w:val="2"/>
          <w:sz w:val="28"/>
          <w:szCs w:val="28"/>
        </w:rPr>
        <w:t xml:space="preserve">　　（5）持续优化创新生态。完善科技治理体系，提高创新体系效能，增强</w:t>
      </w:r>
      <w:proofErr w:type="gramStart"/>
      <w:r>
        <w:rPr>
          <w:rFonts w:ascii="仿宋_GB2312" w:eastAsia="仿宋_GB2312" w:hint="eastAsia"/>
          <w:b w:val="0"/>
          <w:kern w:val="2"/>
          <w:sz w:val="28"/>
          <w:szCs w:val="28"/>
        </w:rPr>
        <w:t>创新策源功能</w:t>
      </w:r>
      <w:proofErr w:type="gramEnd"/>
      <w:r>
        <w:rPr>
          <w:rFonts w:ascii="仿宋_GB2312" w:eastAsia="仿宋_GB2312" w:hint="eastAsia"/>
          <w:b w:val="0"/>
          <w:kern w:val="2"/>
          <w:sz w:val="28"/>
          <w:szCs w:val="28"/>
        </w:rPr>
        <w:t>。发挥政府制度创新的能动作用和市场配置资源的决定性作用，强化企业创新主体地位，激发创新创造活力。加强科技合作交流和智力引进，加快融入全球科技创新网络，提升科技创新影响力。</w:t>
      </w:r>
    </w:p>
    <w:p w:rsidR="00633A8B" w:rsidRDefault="00836776">
      <w:pPr>
        <w:pStyle w:val="aa"/>
        <w:widowControl/>
        <w:shd w:val="clear" w:color="auto" w:fill="FFFFFF"/>
        <w:spacing w:before="0" w:beforeAutospacing="0" w:after="0" w:afterAutospacing="0" w:line="600" w:lineRule="atLeast"/>
        <w:ind w:right="0" w:firstLine="560"/>
        <w:jc w:val="both"/>
        <w:textAlignment w:val="baseline"/>
        <w:rPr>
          <w:rFonts w:ascii="仿宋_GB2312" w:eastAsia="仿宋_GB2312"/>
          <w:b w:val="0"/>
          <w:kern w:val="2"/>
          <w:sz w:val="28"/>
          <w:szCs w:val="28"/>
        </w:rPr>
      </w:pPr>
      <w:r>
        <w:rPr>
          <w:rFonts w:ascii="仿宋_GB2312" w:eastAsia="仿宋_GB2312" w:hint="eastAsia"/>
          <w:b w:val="0"/>
          <w:kern w:val="2"/>
          <w:sz w:val="28"/>
          <w:szCs w:val="28"/>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rsidR="00633A8B" w:rsidRDefault="00836776">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680842.81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减少33601.55万元，下降4.70%。</w:t>
      </w: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656377.18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减少51831.26万元，下降7.32%。</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656377.18</w:t>
      </w:r>
      <w:r>
        <w:rPr>
          <w:rFonts w:ascii="仿宋_GB2312" w:eastAsia="仿宋_GB2312" w:hint="eastAsia"/>
          <w:sz w:val="28"/>
          <w:szCs w:val="28"/>
        </w:rPr>
        <w:t>万元，占收入合计的100%。其中：一般公共预算财政拨款收入</w:t>
      </w:r>
      <w:r>
        <w:rPr>
          <w:rFonts w:ascii="仿宋_GB2312" w:eastAsia="仿宋_GB2312"/>
          <w:sz w:val="28"/>
          <w:szCs w:val="28"/>
        </w:rPr>
        <w:t>656377.18</w:t>
      </w:r>
      <w:r>
        <w:rPr>
          <w:rFonts w:ascii="仿宋_GB2312" w:eastAsia="仿宋_GB2312" w:hint="eastAsia"/>
          <w:sz w:val="28"/>
          <w:szCs w:val="28"/>
        </w:rPr>
        <w:t>万元，占收入</w:t>
      </w:r>
      <w:r>
        <w:rPr>
          <w:rFonts w:ascii="仿宋_GB2312" w:eastAsia="仿宋_GB2312" w:hint="eastAsia"/>
          <w:sz w:val="28"/>
          <w:szCs w:val="28"/>
        </w:rPr>
        <w:lastRenderedPageBreak/>
        <w:t>合计的100%；政府性基金预算财政拨款收入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633A8B" w:rsidRDefault="00633A8B">
      <w:pPr>
        <w:tabs>
          <w:tab w:val="center" w:pos="6979"/>
        </w:tabs>
        <w:spacing w:line="580" w:lineRule="exact"/>
        <w:ind w:firstLineChars="200" w:firstLine="560"/>
        <w:rPr>
          <w:rFonts w:ascii="仿宋_GB2312" w:eastAsia="仿宋_GB2312"/>
          <w:sz w:val="28"/>
          <w:szCs w:val="28"/>
        </w:rPr>
      </w:pPr>
    </w:p>
    <w:p w:rsidR="00633A8B" w:rsidRDefault="00836776">
      <w:pPr>
        <w:pStyle w:val="2"/>
        <w:jc w:val="center"/>
        <w:rPr>
          <w:rFonts w:ascii="仿宋_GB2312" w:eastAsia="仿宋_GB2312"/>
          <w:color w:val="000000"/>
          <w:sz w:val="32"/>
        </w:rPr>
      </w:pPr>
      <w:r>
        <w:rPr>
          <w:noProof/>
        </w:rPr>
        <w:drawing>
          <wp:anchor distT="0" distB="0" distL="114300" distR="114300" simplePos="0" relativeHeight="251659264" behindDoc="0" locked="0" layoutInCell="1" allowOverlap="1">
            <wp:simplePos x="0" y="0"/>
            <wp:positionH relativeFrom="column">
              <wp:posOffset>2394585</wp:posOffset>
            </wp:positionH>
            <wp:positionV relativeFrom="paragraph">
              <wp:posOffset>585470</wp:posOffset>
            </wp:positionV>
            <wp:extent cx="4925695" cy="2352040"/>
            <wp:effectExtent l="19050" t="0" r="27305" b="0"/>
            <wp:wrapNone/>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ascii="仿宋_GB2312" w:eastAsia="仿宋_GB2312" w:hint="eastAsia"/>
          <w:color w:val="000000"/>
          <w:sz w:val="32"/>
        </w:rPr>
        <w:t>图1：收入决算</w:t>
      </w:r>
    </w:p>
    <w:p w:rsidR="00633A8B" w:rsidRDefault="00633A8B"/>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pStyle w:val="a3"/>
        <w:ind w:firstLine="420"/>
        <w:jc w:val="center"/>
      </w:pPr>
    </w:p>
    <w:p w:rsidR="00633A8B" w:rsidRDefault="00633A8B">
      <w:pPr>
        <w:tabs>
          <w:tab w:val="center" w:pos="6979"/>
        </w:tabs>
        <w:spacing w:line="580" w:lineRule="exact"/>
        <w:ind w:firstLine="570"/>
        <w:rPr>
          <w:rFonts w:ascii="仿宋_GB2312" w:eastAsia="仿宋_GB2312"/>
          <w:sz w:val="28"/>
          <w:szCs w:val="28"/>
        </w:rPr>
      </w:pPr>
    </w:p>
    <w:p w:rsidR="00633A8B" w:rsidRDefault="00633A8B">
      <w:pPr>
        <w:tabs>
          <w:tab w:val="center" w:pos="6979"/>
        </w:tabs>
        <w:spacing w:line="580" w:lineRule="exact"/>
        <w:ind w:firstLine="570"/>
        <w:rPr>
          <w:rFonts w:ascii="仿宋_GB2312" w:eastAsia="仿宋_GB2312"/>
          <w:sz w:val="28"/>
          <w:szCs w:val="28"/>
        </w:rPr>
      </w:pP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662443.08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减少16965.98万元，下降2.50%，其中：基本支出</w:t>
      </w:r>
      <w:r>
        <w:rPr>
          <w:rFonts w:ascii="仿宋_GB2312" w:eastAsia="仿宋_GB2312"/>
          <w:sz w:val="28"/>
          <w:szCs w:val="28"/>
        </w:rPr>
        <w:t>178.32</w:t>
      </w:r>
      <w:r>
        <w:rPr>
          <w:rFonts w:ascii="仿宋_GB2312" w:eastAsia="仿宋_GB2312" w:hint="eastAsia"/>
          <w:sz w:val="28"/>
          <w:szCs w:val="28"/>
        </w:rPr>
        <w:t>万元，占支出合计的0.03%；项目支出</w:t>
      </w:r>
      <w:r>
        <w:rPr>
          <w:rFonts w:ascii="仿宋_GB2312" w:eastAsia="仿宋_GB2312"/>
          <w:sz w:val="28"/>
          <w:szCs w:val="28"/>
        </w:rPr>
        <w:t>662264.76</w:t>
      </w:r>
      <w:r>
        <w:rPr>
          <w:rFonts w:ascii="仿宋_GB2312" w:eastAsia="仿宋_GB2312" w:hint="eastAsia"/>
          <w:sz w:val="28"/>
          <w:szCs w:val="28"/>
        </w:rPr>
        <w:t>万元，占支出合计的99.97%;上缴上级支出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633A8B" w:rsidRDefault="00836776">
      <w:pPr>
        <w:pStyle w:val="2"/>
        <w:ind w:firstLine="642"/>
        <w:jc w:val="center"/>
        <w:rPr>
          <w:rFonts w:ascii="仿宋_GB2312" w:eastAsia="仿宋_GB2312"/>
          <w:color w:val="000000"/>
          <w:sz w:val="32"/>
        </w:rPr>
      </w:pPr>
      <w:r>
        <w:rPr>
          <w:rFonts w:ascii="黑体" w:hint="eastAsia"/>
          <w:noProof/>
          <w:sz w:val="28"/>
          <w:szCs w:val="28"/>
        </w:rPr>
        <w:drawing>
          <wp:anchor distT="0" distB="0" distL="114300" distR="114300" simplePos="0" relativeHeight="251660288" behindDoc="0" locked="0" layoutInCell="1" allowOverlap="1">
            <wp:simplePos x="0" y="0"/>
            <wp:positionH relativeFrom="column">
              <wp:posOffset>2032635</wp:posOffset>
            </wp:positionH>
            <wp:positionV relativeFrom="paragraph">
              <wp:posOffset>621030</wp:posOffset>
            </wp:positionV>
            <wp:extent cx="5436870" cy="2978785"/>
            <wp:effectExtent l="0" t="0" r="11430" b="12065"/>
            <wp:wrapNone/>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ascii="仿宋_GB2312" w:eastAsia="仿宋_GB2312" w:hint="eastAsia"/>
          <w:color w:val="000000"/>
          <w:sz w:val="32"/>
        </w:rPr>
        <w:t>图2：基本支出和项目支出情况</w:t>
      </w: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633A8B">
      <w:pPr>
        <w:jc w:val="center"/>
        <w:rPr>
          <w:rFonts w:ascii="黑体" w:eastAsia="黑体"/>
          <w:b/>
          <w:sz w:val="28"/>
          <w:szCs w:val="28"/>
        </w:rPr>
      </w:pPr>
    </w:p>
    <w:p w:rsidR="00633A8B" w:rsidRDefault="00836776" w:rsidP="00DB691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33A8B" w:rsidRDefault="008367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680842.81</w:t>
      </w:r>
      <w:r>
        <w:rPr>
          <w:rFonts w:ascii="仿宋_GB2312" w:eastAsia="仿宋_GB2312" w:hint="eastAsia"/>
          <w:sz w:val="28"/>
          <w:szCs w:val="28"/>
        </w:rPr>
        <w:t>万元，比上年减少33601.55万元，下降4.70%。主要原因：</w:t>
      </w:r>
      <w:r w:rsidR="00DB6912" w:rsidRPr="00DB6912">
        <w:rPr>
          <w:rFonts w:ascii="仿宋_GB2312" w:eastAsia="仿宋_GB2312" w:hint="eastAsia"/>
          <w:sz w:val="28"/>
          <w:szCs w:val="28"/>
        </w:rPr>
        <w:t>优化资金支出结构，在强化</w:t>
      </w:r>
      <w:r w:rsidR="00C04773">
        <w:rPr>
          <w:rFonts w:ascii="仿宋_GB2312" w:eastAsia="仿宋_GB2312" w:hint="eastAsia"/>
          <w:sz w:val="28"/>
          <w:szCs w:val="28"/>
        </w:rPr>
        <w:t>重点任务</w:t>
      </w:r>
      <w:r w:rsidR="00DB6912" w:rsidRPr="00DB6912">
        <w:rPr>
          <w:rFonts w:ascii="仿宋_GB2312" w:eastAsia="仿宋_GB2312" w:hint="eastAsia"/>
          <w:sz w:val="28"/>
          <w:szCs w:val="28"/>
        </w:rPr>
        <w:t>保障的前提下，从严从紧安排预算</w:t>
      </w:r>
      <w:r>
        <w:rPr>
          <w:rFonts w:ascii="仿宋_GB2312" w:eastAsia="仿宋_GB2312" w:hint="eastAsia"/>
          <w:sz w:val="28"/>
          <w:szCs w:val="28"/>
        </w:rPr>
        <w:t>。</w:t>
      </w:r>
    </w:p>
    <w:p w:rsidR="00633A8B" w:rsidRDefault="00836776" w:rsidP="00DB691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633A8B" w:rsidRDefault="008367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33A8B" w:rsidRDefault="0083677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662443.08</w:t>
      </w:r>
      <w:r>
        <w:rPr>
          <w:rFonts w:ascii="仿宋_GB2312" w:eastAsia="仿宋_GB2312" w:hint="eastAsia"/>
          <w:sz w:val="28"/>
          <w:szCs w:val="28"/>
        </w:rPr>
        <w:t>万元，主要用于以下方面：科学技术支出</w:t>
      </w:r>
      <w:r>
        <w:rPr>
          <w:rFonts w:ascii="仿宋_GB2312" w:eastAsia="仿宋_GB2312"/>
          <w:sz w:val="28"/>
          <w:szCs w:val="28"/>
        </w:rPr>
        <w:t>662443.08</w:t>
      </w:r>
      <w:r>
        <w:rPr>
          <w:rFonts w:ascii="仿宋_GB2312" w:eastAsia="仿宋_GB2312" w:hint="eastAsia"/>
          <w:sz w:val="28"/>
          <w:szCs w:val="28"/>
        </w:rPr>
        <w:t>万元，占本年财政拨款支出100.00%。</w:t>
      </w:r>
    </w:p>
    <w:p w:rsidR="00633A8B" w:rsidRDefault="008367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33A8B" w:rsidRDefault="008367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“科学技术支出”2024年度年初预算589724.12万元，2024年度决算662443.08万元，完成年初预算的112.33%。</w:t>
      </w:r>
    </w:p>
    <w:p w:rsidR="00633A8B" w:rsidRDefault="00836776">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633A8B" w:rsidRDefault="00836776">
      <w:pPr>
        <w:spacing w:line="580" w:lineRule="exact"/>
        <w:ind w:firstLineChars="200" w:firstLine="560"/>
        <w:rPr>
          <w:rFonts w:ascii="仿宋_GB2312" w:eastAsia="仿宋_GB2312"/>
          <w:sz w:val="28"/>
          <w:szCs w:val="28"/>
        </w:rPr>
      </w:pPr>
      <w:r>
        <w:rPr>
          <w:rFonts w:ascii="仿宋_GB2312" w:eastAsia="仿宋_GB2312" w:hint="eastAsia"/>
          <w:sz w:val="28"/>
          <w:szCs w:val="28"/>
        </w:rPr>
        <w:t>“科学技术管理事务”2024年度年初预算1300.00万元，2024年度决算499.5万元，完成年初预算的38.42%。主要原因：按规定在年度预算中安排的“机动经费”项目，按实际情况支出相关经费，本年度支出较少。</w:t>
      </w:r>
    </w:p>
    <w:p w:rsidR="00633A8B" w:rsidRDefault="00836776">
      <w:pPr>
        <w:pStyle w:val="a4"/>
        <w:ind w:firstLineChars="200" w:firstLine="560"/>
        <w:rPr>
          <w:rFonts w:ascii="仿宋_GB2312" w:eastAsia="仿宋_GB2312"/>
          <w:sz w:val="28"/>
          <w:szCs w:val="28"/>
        </w:rPr>
      </w:pPr>
      <w:r>
        <w:rPr>
          <w:rFonts w:ascii="仿宋_GB2312" w:eastAsia="仿宋_GB2312" w:hint="eastAsia"/>
          <w:sz w:val="28"/>
          <w:szCs w:val="28"/>
        </w:rPr>
        <w:t>“基础研究”2024年度年初预算368287.40万元，2024年度决算407925.88万元，完成年初预算的110.76%。主要原因：加大对脑科学与类脑研究所、雁栖湖应用数学研究院等新型研发机构经费投入。</w:t>
      </w:r>
    </w:p>
    <w:p w:rsidR="00633A8B" w:rsidRDefault="00836776">
      <w:pPr>
        <w:pStyle w:val="a4"/>
        <w:ind w:firstLineChars="200" w:firstLine="560"/>
      </w:pPr>
      <w:r>
        <w:rPr>
          <w:rFonts w:ascii="仿宋_GB2312" w:eastAsia="仿宋_GB2312" w:hint="eastAsia"/>
          <w:sz w:val="28"/>
          <w:szCs w:val="28"/>
        </w:rPr>
        <w:t>“应用研究”2024年度年初预算122924.00万元，2024年度决算151070.00万元，完成年初预算的122.90%。主要原因：加大对人工智能研究院、新一代信息通信技术、智能制造与机器人技术创新等方面</w:t>
      </w:r>
      <w:r>
        <w:rPr>
          <w:rFonts w:ascii="仿宋_GB2312" w:eastAsia="仿宋_GB2312" w:hAnsi="仿宋_GB2312" w:cs="仿宋_GB2312" w:hint="eastAsia"/>
          <w:sz w:val="28"/>
          <w:szCs w:val="28"/>
        </w:rPr>
        <w:t>经费投入</w:t>
      </w:r>
      <w:r>
        <w:rPr>
          <w:rFonts w:ascii="仿宋_GB2312" w:eastAsia="仿宋_GB2312" w:hint="eastAsia"/>
          <w:sz w:val="28"/>
          <w:szCs w:val="28"/>
        </w:rPr>
        <w:t>。</w:t>
      </w:r>
    </w:p>
    <w:p w:rsidR="00633A8B" w:rsidRDefault="00836776">
      <w:pPr>
        <w:pStyle w:val="a4"/>
        <w:ind w:firstLineChars="200" w:firstLine="560"/>
      </w:pPr>
      <w:r>
        <w:rPr>
          <w:rFonts w:ascii="仿宋_GB2312" w:eastAsia="仿宋_GB2312" w:hint="eastAsia"/>
          <w:sz w:val="28"/>
          <w:szCs w:val="28"/>
        </w:rPr>
        <w:lastRenderedPageBreak/>
        <w:t>“技术研究与开发”2024年度年初预算45526.00万元，2024年度决算57501.65万元，完成年初预算的126.31%。主要原因：</w:t>
      </w:r>
      <w:r>
        <w:rPr>
          <w:rFonts w:ascii="仿宋_GB2312" w:eastAsia="仿宋_GB2312" w:hAnsi="仿宋_GB2312" w:cs="仿宋_GB2312" w:hint="eastAsia"/>
          <w:sz w:val="28"/>
          <w:szCs w:val="28"/>
        </w:rPr>
        <w:t>加强技术研究工作，增加</w:t>
      </w:r>
      <w:r>
        <w:rPr>
          <w:rFonts w:ascii="仿宋_GB2312" w:eastAsia="仿宋_GB2312" w:hAnsi="仿宋_GB2312" w:cs="仿宋_GB2312"/>
          <w:sz w:val="28"/>
          <w:szCs w:val="28"/>
        </w:rPr>
        <w:t>传感器与科学仪器创新</w:t>
      </w:r>
      <w:r>
        <w:rPr>
          <w:rFonts w:ascii="仿宋_GB2312" w:eastAsia="仿宋_GB2312" w:hAnsi="仿宋_GB2312" w:cs="仿宋_GB2312" w:hint="eastAsia"/>
          <w:sz w:val="28"/>
          <w:szCs w:val="28"/>
        </w:rPr>
        <w:t>，</w:t>
      </w:r>
      <w:proofErr w:type="gramStart"/>
      <w:r>
        <w:rPr>
          <w:rFonts w:ascii="仿宋_GB2312" w:eastAsia="仿宋_GB2312" w:hAnsi="仿宋_GB2312" w:cs="仿宋_GB2312"/>
          <w:sz w:val="28"/>
          <w:szCs w:val="28"/>
        </w:rPr>
        <w:t>碳减排</w:t>
      </w:r>
      <w:proofErr w:type="gramEnd"/>
      <w:r>
        <w:rPr>
          <w:rFonts w:ascii="仿宋_GB2312" w:eastAsia="仿宋_GB2312" w:hAnsi="仿宋_GB2312" w:cs="仿宋_GB2312"/>
          <w:sz w:val="28"/>
          <w:szCs w:val="28"/>
        </w:rPr>
        <w:t>、碳中和</w:t>
      </w:r>
      <w:r>
        <w:rPr>
          <w:rFonts w:ascii="仿宋_GB2312" w:eastAsia="仿宋_GB2312" w:hAnsi="仿宋_GB2312" w:cs="仿宋_GB2312" w:hint="eastAsia"/>
          <w:sz w:val="28"/>
          <w:szCs w:val="28"/>
        </w:rPr>
        <w:t>等方面经费投入。</w:t>
      </w:r>
    </w:p>
    <w:p w:rsidR="00633A8B" w:rsidRDefault="00836776">
      <w:pPr>
        <w:pStyle w:val="a4"/>
        <w:ind w:firstLineChars="200" w:firstLine="560"/>
      </w:pPr>
      <w:r>
        <w:rPr>
          <w:rFonts w:ascii="仿宋_GB2312" w:eastAsia="仿宋_GB2312" w:hint="eastAsia"/>
          <w:sz w:val="28"/>
          <w:szCs w:val="28"/>
        </w:rPr>
        <w:t>“科技条件与服务”2024年度年初预算19919.22万元，2024年度决算17397.80万元，完成年初预算的87.34%。主要原因：</w:t>
      </w:r>
      <w:r>
        <w:rPr>
          <w:rFonts w:ascii="仿宋_GB2312" w:eastAsia="仿宋_GB2312" w:hAnsi="仿宋_GB2312" w:cs="仿宋_GB2312" w:hint="eastAsia"/>
          <w:sz w:val="28"/>
          <w:szCs w:val="28"/>
        </w:rPr>
        <w:t>提高资金使用效益，进一步优化项目支出内容，减少</w:t>
      </w:r>
      <w:r w:rsidR="006E5CDC">
        <w:rPr>
          <w:rFonts w:ascii="仿宋_GB2312" w:eastAsia="仿宋_GB2312" w:hAnsi="仿宋_GB2312" w:cs="仿宋_GB2312" w:hint="eastAsia"/>
          <w:sz w:val="28"/>
          <w:szCs w:val="28"/>
        </w:rPr>
        <w:t>部分项目</w:t>
      </w:r>
      <w:r>
        <w:rPr>
          <w:rFonts w:ascii="仿宋_GB2312" w:eastAsia="仿宋_GB2312" w:hAnsi="仿宋_GB2312" w:cs="仿宋_GB2312" w:hint="eastAsia"/>
          <w:sz w:val="28"/>
          <w:szCs w:val="28"/>
        </w:rPr>
        <w:t>经费支出。</w:t>
      </w:r>
    </w:p>
    <w:p w:rsidR="00633A8B" w:rsidRDefault="00836776">
      <w:pPr>
        <w:pStyle w:val="a4"/>
        <w:ind w:firstLineChars="200" w:firstLine="560"/>
      </w:pPr>
      <w:r>
        <w:rPr>
          <w:rFonts w:ascii="仿宋_GB2312" w:eastAsia="仿宋_GB2312" w:hint="eastAsia"/>
          <w:sz w:val="28"/>
          <w:szCs w:val="28"/>
        </w:rPr>
        <w:t>“科学技术普及”2024年度年初预算8190.00万元，2024年度决算5206.94万元，完成年初预算的63.58%。主要原因：</w:t>
      </w:r>
      <w:r>
        <w:rPr>
          <w:rFonts w:ascii="仿宋_GB2312" w:eastAsia="仿宋_GB2312" w:hAnsi="仿宋_GB2312" w:cs="仿宋_GB2312" w:hint="eastAsia"/>
          <w:sz w:val="28"/>
          <w:szCs w:val="28"/>
        </w:rPr>
        <w:t>一是按照全国人大常委会修订科普法和科技部有关新部署，借助北京科普条例修订契机，我委研究调整全市科普工作整体思路。二是2024年如期举办中国科幻大会，北京科技周等重要活动，提高资金使用效益，进一步优化项目支出内容，压减部分费用支出。</w:t>
      </w:r>
    </w:p>
    <w:p w:rsidR="00633A8B" w:rsidRDefault="00836776">
      <w:pPr>
        <w:spacing w:line="580" w:lineRule="exact"/>
        <w:ind w:firstLineChars="200" w:firstLine="560"/>
        <w:rPr>
          <w:rFonts w:ascii="仿宋_GB2312" w:eastAsia="仿宋_GB2312"/>
          <w:sz w:val="28"/>
          <w:szCs w:val="28"/>
        </w:rPr>
      </w:pPr>
      <w:r>
        <w:rPr>
          <w:rFonts w:ascii="仿宋_GB2312" w:eastAsia="仿宋_GB2312" w:hint="eastAsia"/>
          <w:sz w:val="28"/>
          <w:szCs w:val="28"/>
        </w:rPr>
        <w:t>“其他科学技术支出”2024年度年初预算23577.50万元，2024年度决算22841.31万元，完成年初预算的96.88%。主要原因：进一步优化项目支出内容，严控政府购买服务规模，调减部分项目经费支出。</w:t>
      </w:r>
    </w:p>
    <w:p w:rsidR="00633A8B" w:rsidRDefault="00836776" w:rsidP="00DB691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33A8B" w:rsidRDefault="00836776">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633A8B" w:rsidRDefault="00836776" w:rsidP="00DB6912">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33A8B" w:rsidRDefault="00836776">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633A8B" w:rsidRDefault="00836776">
      <w:pPr>
        <w:rPr>
          <w:rFonts w:ascii="黑体" w:eastAsia="黑体"/>
          <w:b/>
          <w:sz w:val="28"/>
          <w:szCs w:val="28"/>
        </w:rPr>
      </w:pPr>
      <w:r>
        <w:rPr>
          <w:rFonts w:ascii="黑体" w:eastAsia="黑体" w:hint="eastAsia"/>
          <w:b/>
          <w:sz w:val="28"/>
          <w:szCs w:val="28"/>
        </w:rPr>
        <w:br w:type="page"/>
      </w:r>
    </w:p>
    <w:p w:rsidR="00633A8B" w:rsidRDefault="00836776" w:rsidP="00DB6912">
      <w:pPr>
        <w:ind w:firstLineChars="192" w:firstLine="540"/>
        <w:rPr>
          <w:rFonts w:ascii="黑体" w:eastAsia="黑体"/>
          <w:sz w:val="28"/>
          <w:szCs w:val="28"/>
        </w:rPr>
      </w:pPr>
      <w:r>
        <w:rPr>
          <w:rFonts w:ascii="黑体" w:eastAsia="黑体" w:hint="eastAsia"/>
          <w:b/>
          <w:sz w:val="28"/>
          <w:szCs w:val="28"/>
        </w:rPr>
        <w:lastRenderedPageBreak/>
        <w:t>七、财政拨款基本支出决算情况说明</w:t>
      </w:r>
    </w:p>
    <w:p w:rsidR="008B212D" w:rsidRDefault="0083677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178.32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33A8B" w:rsidRDefault="00836776">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633A8B" w:rsidRDefault="00836776">
      <w:pPr>
        <w:jc w:val="left"/>
        <w:rPr>
          <w:rFonts w:ascii="宋体" w:hAnsi="宋体" w:cs="宋体"/>
          <w:b/>
          <w:bCs/>
          <w:spacing w:val="40"/>
          <w:kern w:val="0"/>
          <w:sz w:val="32"/>
          <w:szCs w:val="32"/>
        </w:rPr>
      </w:pPr>
      <w:r>
        <w:rPr>
          <w:rFonts w:ascii="宋体" w:hAnsi="宋体" w:cs="宋体" w:hint="eastAsia"/>
          <w:b/>
          <w:bCs/>
          <w:spacing w:val="40"/>
          <w:kern w:val="0"/>
          <w:sz w:val="32"/>
          <w:szCs w:val="32"/>
        </w:rPr>
        <w:br w:type="page"/>
      </w:r>
    </w:p>
    <w:p w:rsidR="00633A8B" w:rsidRDefault="00836776">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633A8B" w:rsidRDefault="0083677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33A8B" w:rsidRDefault="00836776">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633A8B" w:rsidRDefault="0083677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33A8B" w:rsidRDefault="00836776" w:rsidP="00DB6912">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633A8B" w:rsidRDefault="00836776">
      <w:pPr>
        <w:ind w:left="540"/>
        <w:rPr>
          <w:rFonts w:ascii="黑体" w:eastAsia="黑体"/>
          <w:sz w:val="28"/>
          <w:szCs w:val="28"/>
        </w:rPr>
      </w:pPr>
      <w:r>
        <w:rPr>
          <w:rFonts w:ascii="黑体" w:eastAsia="黑体" w:hint="eastAsia"/>
          <w:sz w:val="28"/>
          <w:szCs w:val="28"/>
        </w:rPr>
        <w:t>三、政府采购支出情况</w:t>
      </w:r>
    </w:p>
    <w:p w:rsidR="00633A8B" w:rsidRDefault="00836776" w:rsidP="00DB6912">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7182.17</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7182.17</w:t>
      </w:r>
      <w:r>
        <w:rPr>
          <w:rFonts w:ascii="仿宋_GB2312" w:eastAsia="仿宋_GB2312" w:hint="eastAsia"/>
          <w:sz w:val="28"/>
          <w:szCs w:val="28"/>
        </w:rPr>
        <w:t>万元。授予中小企业合同金额</w:t>
      </w:r>
      <w:r>
        <w:rPr>
          <w:rFonts w:ascii="仿宋_GB2312" w:eastAsia="仿宋_GB2312"/>
          <w:sz w:val="28"/>
          <w:szCs w:val="28"/>
        </w:rPr>
        <w:t>5365.13</w:t>
      </w:r>
      <w:r>
        <w:rPr>
          <w:rFonts w:ascii="仿宋_GB2312" w:eastAsia="仿宋_GB2312" w:hint="eastAsia"/>
          <w:sz w:val="28"/>
          <w:szCs w:val="28"/>
        </w:rPr>
        <w:t>万元，占政府采购支出总额的74.7%，其中：授予小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4667.33</w:t>
      </w:r>
      <w:r>
        <w:rPr>
          <w:rFonts w:ascii="仿宋_GB2312" w:eastAsia="仿宋_GB2312" w:hint="eastAsia"/>
          <w:sz w:val="28"/>
          <w:szCs w:val="28"/>
        </w:rPr>
        <w:t>万元，占政府采购支出总额的</w:t>
      </w:r>
      <w:r>
        <w:rPr>
          <w:rFonts w:ascii="仿宋_GB2312" w:eastAsia="仿宋_GB2312"/>
          <w:sz w:val="28"/>
          <w:szCs w:val="28"/>
        </w:rPr>
        <w:t>64.98</w:t>
      </w:r>
      <w:r>
        <w:rPr>
          <w:rFonts w:ascii="仿宋_GB2312" w:eastAsia="仿宋_GB2312" w:hint="eastAsia"/>
          <w:sz w:val="28"/>
          <w:szCs w:val="28"/>
        </w:rPr>
        <w:t>%。</w:t>
      </w:r>
    </w:p>
    <w:p w:rsidR="00633A8B" w:rsidRDefault="0083677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33A8B" w:rsidRDefault="00836776">
      <w:pPr>
        <w:ind w:firstLineChars="200" w:firstLine="560"/>
        <w:rPr>
          <w:rFonts w:ascii="仿宋_GB2312" w:eastAsia="仿宋_GB2312"/>
          <w:sz w:val="32"/>
          <w:szCs w:val="32"/>
        </w:rPr>
      </w:pPr>
      <w:r>
        <w:rPr>
          <w:rFonts w:ascii="仿宋_GB2312" w:eastAsia="仿宋_GB2312" w:hint="eastAsia"/>
          <w:sz w:val="28"/>
          <w:szCs w:val="28"/>
        </w:rPr>
        <w:t>截至12月31日，北京市科学技术委员会本级事业共有车辆0台；单位价值100万元（含）以上的设备0台（套）。</w:t>
      </w:r>
    </w:p>
    <w:p w:rsidR="00633A8B" w:rsidRDefault="00836776" w:rsidP="00DB691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B212D" w:rsidRDefault="00836776">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政府购买服务决算7182.18</w:t>
      </w:r>
      <w:r>
        <w:rPr>
          <w:rFonts w:ascii="仿宋_GB2312" w:eastAsia="仿宋_GB2312" w:hint="eastAsia"/>
          <w:sz w:val="28"/>
          <w:szCs w:val="28"/>
        </w:rPr>
        <w:t>万元。</w:t>
      </w:r>
    </w:p>
    <w:p w:rsidR="00633A8B" w:rsidRDefault="0083677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rsidR="00633A8B" w:rsidRDefault="00836776">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633A8B" w:rsidRDefault="0083677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33A8B" w:rsidRDefault="0083677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33A8B" w:rsidRDefault="0083677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7. 支出功能分类项级科目名词解释：</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（1）科学技术支出-科学技术管理事务-行政运行：反映行政单位(包括实行公务员管理的事业单位)的基本支出。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（2）科学技术支出-科学技术管理事务-其他科学技术管理事务支出：  反映除上述项目以外其他用于科学技术管</w:t>
      </w:r>
      <w:r>
        <w:rPr>
          <w:rFonts w:ascii="仿宋_GB2312" w:eastAsia="仿宋_GB2312" w:hint="eastAsia"/>
          <w:sz w:val="28"/>
          <w:szCs w:val="28"/>
        </w:rPr>
        <w:lastRenderedPageBreak/>
        <w:t>理事务方面的支出。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（3）科学技术支出-基础研究-实验室及相关设施：反映国家实验室、国家重点实验室、部门开放实验室及野外台站等支出。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（4）科学技术支出-基础研究-重大科学工程：反映国家重大科学工程支出。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（5）科学技术支出-基础研究-专项基础科研：反映用于专项基础科研方面的支出。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（6）科学技术支出-基础研究-专项技术基础：反映用于专项技术基础方面的支出。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（7）科学技术支出-基础研究-科技人才队伍建设：反映高层次科技人才、科研机构研究生培养和博士后科学基金等方面的支出。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（8）科学技术支出-应用研究-社会公益研究：反映从事卫生、劳动保护、计划生育、环境科学、农业等社会公益专项科研方面的支出。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（9）科学技术支出-应用研究-高技术研究：反映为解决事关国民经济长远发展和国家安全等重大战略性、前沿性和前瞻性高技术问题而开展的研究工作支出。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（10）科学技术支出-应用研究-专项科研试制：反映用于专项科研试制方面的支出。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（11）科学技术支出-技术研究与开发-科技成果转化与扩散： 反映促进科技成果转化为现实生产力的应用、推广和引导性支出，以及基本建设支出中用于支持企业科技自主创新的支出。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lastRenderedPageBreak/>
        <w:t>（12）科学技术支出-技术研究与开发-共性技术研究与开发：反映为国民经济和社会发展主要领域提供支撑和引领的共性技术研究与开发支出，以及加速产业升级和结构调整等方面的支出(不含已推进科技计划改革地区的重点研发计划)。</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（13）科学技术支出-技术研究与开发-其他技术研究与开发支出：反映除上述项目以外其他用于技术研究与开发方面的支出。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（14）科学技术支出-科技条件与服务-技术创新服务体系： 反映国家为公益性行业、企业等提供信息、技术、中介等全方位服务和支持，建立健全技术服务体系等方面的支出。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（15）科学技术支出-科技条件与服务-科技条件专项：反映国家用于完善科技条件的支出，包括科技文献信息、网络环境支撑等科技条件专项支出等。</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（16）科学技术支出-科技条件与服务-其他科技条件与服务支出：反映除上述项目以外其他用于科技条件与服务方面的支出。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（17）科学技术支出-科学技术普及-科普活动：反映用于开展科普活动的支出。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（18）科学技术支出-其他科学技术支出-转制科研机构：反映对已转制为企业的各类科研机构的补助支出。</w:t>
      </w:r>
    </w:p>
    <w:p w:rsidR="00633A8B" w:rsidRDefault="00836776">
      <w:pPr>
        <w:ind w:firstLineChars="200" w:firstLine="560"/>
        <w:rPr>
          <w:rFonts w:ascii="仿宋_GB2312" w:eastAsia="仿宋_GB2312"/>
          <w:sz w:val="28"/>
          <w:szCs w:val="28"/>
        </w:rPr>
      </w:pPr>
      <w:r>
        <w:rPr>
          <w:rFonts w:ascii="仿宋_GB2312" w:eastAsia="仿宋_GB2312" w:hint="eastAsia"/>
          <w:sz w:val="28"/>
          <w:szCs w:val="28"/>
        </w:rPr>
        <w:t>（19）科学技术支出-其他科学技术支出-其他科学技术支出：反映除以上各项以外用于科技方面的支出。</w:t>
      </w:r>
    </w:p>
    <w:p w:rsidR="00633A8B" w:rsidRDefault="00633A8B">
      <w:pPr>
        <w:ind w:firstLineChars="200" w:firstLine="640"/>
        <w:jc w:val="center"/>
        <w:rPr>
          <w:rFonts w:ascii="黑体" w:eastAsia="黑体"/>
          <w:sz w:val="32"/>
          <w:szCs w:val="32"/>
        </w:rPr>
      </w:pPr>
    </w:p>
    <w:p w:rsidR="00633A8B" w:rsidRDefault="00836776">
      <w:pPr>
        <w:jc w:val="left"/>
        <w:rPr>
          <w:rFonts w:ascii="黑体" w:eastAsia="黑体"/>
          <w:sz w:val="32"/>
          <w:szCs w:val="32"/>
        </w:rPr>
      </w:pPr>
      <w:r>
        <w:rPr>
          <w:rFonts w:ascii="黑体" w:eastAsia="黑体" w:hint="eastAsia"/>
          <w:sz w:val="32"/>
          <w:szCs w:val="32"/>
        </w:rPr>
        <w:lastRenderedPageBreak/>
        <w:br w:type="page"/>
      </w:r>
    </w:p>
    <w:p w:rsidR="00633A8B" w:rsidRDefault="00836776">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633A8B" w:rsidRDefault="00633A8B">
      <w:pPr>
        <w:ind w:firstLineChars="200" w:firstLine="560"/>
        <w:rPr>
          <w:rFonts w:ascii="黑体" w:eastAsia="黑体"/>
          <w:sz w:val="28"/>
          <w:szCs w:val="28"/>
          <w:highlight w:val="yellow"/>
        </w:rPr>
      </w:pPr>
    </w:p>
    <w:p w:rsidR="00633A8B" w:rsidRDefault="00836776">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633A8B" w:rsidRDefault="00633A8B">
      <w:pPr>
        <w:spacing w:line="480" w:lineRule="exact"/>
        <w:rPr>
          <w:rFonts w:ascii="仿宋_GB2312" w:eastAsia="仿宋_GB2312" w:hAnsi="仿宋_GB2312" w:cs="仿宋_GB2312"/>
          <w:sz w:val="32"/>
          <w:szCs w:val="32"/>
        </w:rPr>
      </w:pPr>
    </w:p>
    <w:p w:rsidR="00633A8B" w:rsidRDefault="00633A8B">
      <w:pPr>
        <w:spacing w:line="480" w:lineRule="exact"/>
      </w:pPr>
    </w:p>
    <w:sectPr w:rsidR="00633A8B" w:rsidSect="00633A8B">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8C3" w:rsidRDefault="005D28C3" w:rsidP="00633A8B">
      <w:r>
        <w:separator/>
      </w:r>
    </w:p>
  </w:endnote>
  <w:endnote w:type="continuationSeparator" w:id="0">
    <w:p w:rsidR="005D28C3" w:rsidRDefault="005D28C3" w:rsidP="00633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仿宋">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8B" w:rsidRDefault="008B212D">
    <w:pPr>
      <w:pStyle w:val="a8"/>
      <w:framePr w:wrap="around" w:vAnchor="text" w:hAnchor="margin" w:xAlign="center" w:y="1"/>
      <w:rPr>
        <w:rStyle w:val="ac"/>
      </w:rPr>
    </w:pPr>
    <w:r>
      <w:fldChar w:fldCharType="begin"/>
    </w:r>
    <w:r w:rsidR="00836776">
      <w:rPr>
        <w:rStyle w:val="ac"/>
      </w:rPr>
      <w:instrText xml:space="preserve">PAGE  </w:instrText>
    </w:r>
    <w:r>
      <w:fldChar w:fldCharType="separate"/>
    </w:r>
    <w:r w:rsidR="006E5CDC">
      <w:rPr>
        <w:rStyle w:val="ac"/>
        <w:noProof/>
      </w:rPr>
      <w:t>3</w:t>
    </w:r>
    <w:r>
      <w:fldChar w:fldCharType="end"/>
    </w:r>
  </w:p>
  <w:p w:rsidR="00633A8B" w:rsidRDefault="00633A8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8B" w:rsidRDefault="008B212D">
    <w:pPr>
      <w:pStyle w:val="a8"/>
      <w:framePr w:wrap="around" w:vAnchor="text" w:hAnchor="margin" w:xAlign="center" w:y="1"/>
      <w:rPr>
        <w:rStyle w:val="ac"/>
      </w:rPr>
    </w:pPr>
    <w:r>
      <w:fldChar w:fldCharType="begin"/>
    </w:r>
    <w:r w:rsidR="00836776">
      <w:rPr>
        <w:rStyle w:val="ac"/>
      </w:rPr>
      <w:instrText xml:space="preserve">PAGE  </w:instrText>
    </w:r>
    <w:r>
      <w:fldChar w:fldCharType="separate"/>
    </w:r>
    <w:r w:rsidR="00836776">
      <w:rPr>
        <w:rStyle w:val="ac"/>
      </w:rPr>
      <w:t>15</w:t>
    </w:r>
    <w:r>
      <w:fldChar w:fldCharType="end"/>
    </w:r>
  </w:p>
  <w:p w:rsidR="00633A8B" w:rsidRDefault="00633A8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8B" w:rsidRDefault="008B212D">
    <w:pPr>
      <w:pStyle w:val="a8"/>
      <w:framePr w:wrap="around" w:vAnchor="text" w:hAnchor="margin" w:xAlign="center" w:y="1"/>
      <w:rPr>
        <w:rStyle w:val="ac"/>
      </w:rPr>
    </w:pPr>
    <w:r>
      <w:fldChar w:fldCharType="begin"/>
    </w:r>
    <w:r w:rsidR="00836776">
      <w:rPr>
        <w:rStyle w:val="ac"/>
      </w:rPr>
      <w:instrText xml:space="preserve">PAGE  </w:instrText>
    </w:r>
    <w:r>
      <w:fldChar w:fldCharType="separate"/>
    </w:r>
    <w:r w:rsidR="006E5CDC">
      <w:rPr>
        <w:rStyle w:val="ac"/>
        <w:noProof/>
      </w:rPr>
      <w:t>11</w:t>
    </w:r>
    <w:r>
      <w:fldChar w:fldCharType="end"/>
    </w:r>
  </w:p>
  <w:p w:rsidR="00633A8B" w:rsidRDefault="00633A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8C3" w:rsidRDefault="005D28C3" w:rsidP="00633A8B">
      <w:r>
        <w:separator/>
      </w:r>
    </w:p>
  </w:footnote>
  <w:footnote w:type="continuationSeparator" w:id="0">
    <w:p w:rsidR="005D28C3" w:rsidRDefault="005D28C3" w:rsidP="00633A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迷猴桃">
    <w15:presenceInfo w15:providerId="WPS Office" w15:userId="34944794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1D73"/>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28C3"/>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3A8B"/>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5CDC"/>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6776"/>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212D"/>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2B31"/>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4773"/>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B6912"/>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C70041"/>
    <w:rsid w:val="079004AC"/>
    <w:rsid w:val="0A01005E"/>
    <w:rsid w:val="0B4443D6"/>
    <w:rsid w:val="0BA148CA"/>
    <w:rsid w:val="0C1165C4"/>
    <w:rsid w:val="0D6D544B"/>
    <w:rsid w:val="0DD136FE"/>
    <w:rsid w:val="0E2A646C"/>
    <w:rsid w:val="0F00541F"/>
    <w:rsid w:val="0F8E2C57"/>
    <w:rsid w:val="1059665E"/>
    <w:rsid w:val="108F4D26"/>
    <w:rsid w:val="10AC13BA"/>
    <w:rsid w:val="145A6C1B"/>
    <w:rsid w:val="14B73493"/>
    <w:rsid w:val="167A2FF9"/>
    <w:rsid w:val="169F744C"/>
    <w:rsid w:val="18581C69"/>
    <w:rsid w:val="1AEC0734"/>
    <w:rsid w:val="1D7248EE"/>
    <w:rsid w:val="1D7A47FA"/>
    <w:rsid w:val="1DEF20B0"/>
    <w:rsid w:val="20B35E4D"/>
    <w:rsid w:val="214243FA"/>
    <w:rsid w:val="21AD613C"/>
    <w:rsid w:val="22467189"/>
    <w:rsid w:val="257A14F5"/>
    <w:rsid w:val="27196C26"/>
    <w:rsid w:val="29EF086F"/>
    <w:rsid w:val="2C106849"/>
    <w:rsid w:val="2DD83397"/>
    <w:rsid w:val="2E0F2B31"/>
    <w:rsid w:val="2EFFE297"/>
    <w:rsid w:val="301437CA"/>
    <w:rsid w:val="32CE05CB"/>
    <w:rsid w:val="337551E4"/>
    <w:rsid w:val="349D1F0A"/>
    <w:rsid w:val="34DD0473"/>
    <w:rsid w:val="38B144A1"/>
    <w:rsid w:val="3ADE0A40"/>
    <w:rsid w:val="3C5F4C83"/>
    <w:rsid w:val="3C67447A"/>
    <w:rsid w:val="3C684897"/>
    <w:rsid w:val="3CE03163"/>
    <w:rsid w:val="3D393726"/>
    <w:rsid w:val="401A4DB7"/>
    <w:rsid w:val="40A241B5"/>
    <w:rsid w:val="433E495C"/>
    <w:rsid w:val="437154EB"/>
    <w:rsid w:val="447C4AFA"/>
    <w:rsid w:val="48661E5F"/>
    <w:rsid w:val="489F2FD7"/>
    <w:rsid w:val="4AC27CB3"/>
    <w:rsid w:val="4BF72BEF"/>
    <w:rsid w:val="4FA90297"/>
    <w:rsid w:val="4FC41A43"/>
    <w:rsid w:val="51DB3C59"/>
    <w:rsid w:val="52201F3F"/>
    <w:rsid w:val="5495703C"/>
    <w:rsid w:val="550C0952"/>
    <w:rsid w:val="55762E42"/>
    <w:rsid w:val="57A7B272"/>
    <w:rsid w:val="58470068"/>
    <w:rsid w:val="58747CAC"/>
    <w:rsid w:val="5A1720F9"/>
    <w:rsid w:val="5B9C37C2"/>
    <w:rsid w:val="5BA7C654"/>
    <w:rsid w:val="5BED16CF"/>
    <w:rsid w:val="60145C01"/>
    <w:rsid w:val="605F0EDF"/>
    <w:rsid w:val="60A54109"/>
    <w:rsid w:val="61D01CDF"/>
    <w:rsid w:val="64C0607C"/>
    <w:rsid w:val="64FC2514"/>
    <w:rsid w:val="65756C86"/>
    <w:rsid w:val="674D385B"/>
    <w:rsid w:val="676F09E1"/>
    <w:rsid w:val="6A2539AB"/>
    <w:rsid w:val="6C5D26DE"/>
    <w:rsid w:val="6F411E43"/>
    <w:rsid w:val="71793A80"/>
    <w:rsid w:val="71BC79B9"/>
    <w:rsid w:val="7357290B"/>
    <w:rsid w:val="741E6BF6"/>
    <w:rsid w:val="74556A6F"/>
    <w:rsid w:val="798524E4"/>
    <w:rsid w:val="7A7F1C49"/>
    <w:rsid w:val="7B5B7AE6"/>
    <w:rsid w:val="7B7B6628"/>
    <w:rsid w:val="7BA7071E"/>
    <w:rsid w:val="7BDF6DA8"/>
    <w:rsid w:val="7C7EDC1A"/>
    <w:rsid w:val="7CCED98D"/>
    <w:rsid w:val="7D08410F"/>
    <w:rsid w:val="7DB96DED"/>
    <w:rsid w:val="7DD3AD81"/>
    <w:rsid w:val="7F724027"/>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33A8B"/>
    <w:pPr>
      <w:widowControl w:val="0"/>
      <w:jc w:val="both"/>
    </w:pPr>
    <w:rPr>
      <w:kern w:val="2"/>
      <w:sz w:val="21"/>
      <w:szCs w:val="24"/>
    </w:rPr>
  </w:style>
  <w:style w:type="paragraph" w:styleId="2">
    <w:name w:val="heading 2"/>
    <w:basedOn w:val="a"/>
    <w:next w:val="a"/>
    <w:qFormat/>
    <w:rsid w:val="00633A8B"/>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633A8B"/>
    <w:pPr>
      <w:ind w:firstLineChars="200" w:firstLine="200"/>
    </w:pPr>
  </w:style>
  <w:style w:type="paragraph" w:styleId="a4">
    <w:name w:val="annotation text"/>
    <w:basedOn w:val="a"/>
    <w:qFormat/>
    <w:rsid w:val="00633A8B"/>
    <w:pPr>
      <w:jc w:val="left"/>
    </w:pPr>
  </w:style>
  <w:style w:type="paragraph" w:styleId="a5">
    <w:name w:val="Body Text Indent"/>
    <w:basedOn w:val="a"/>
    <w:qFormat/>
    <w:rsid w:val="00633A8B"/>
    <w:pPr>
      <w:ind w:firstLine="645"/>
    </w:pPr>
    <w:rPr>
      <w:rFonts w:ascii="仿宋_GB2312" w:eastAsia="仿宋_GB2312" w:hAnsi="Calibri"/>
      <w:sz w:val="32"/>
      <w:szCs w:val="32"/>
    </w:rPr>
  </w:style>
  <w:style w:type="paragraph" w:styleId="a6">
    <w:name w:val="Date"/>
    <w:basedOn w:val="a"/>
    <w:next w:val="a"/>
    <w:qFormat/>
    <w:rsid w:val="00633A8B"/>
    <w:pPr>
      <w:ind w:leftChars="2500" w:left="100"/>
    </w:pPr>
  </w:style>
  <w:style w:type="paragraph" w:styleId="a7">
    <w:name w:val="Balloon Text"/>
    <w:basedOn w:val="a"/>
    <w:semiHidden/>
    <w:qFormat/>
    <w:rsid w:val="00633A8B"/>
    <w:rPr>
      <w:sz w:val="18"/>
      <w:szCs w:val="18"/>
    </w:rPr>
  </w:style>
  <w:style w:type="paragraph" w:styleId="a8">
    <w:name w:val="footer"/>
    <w:basedOn w:val="a"/>
    <w:link w:val="Char"/>
    <w:qFormat/>
    <w:rsid w:val="00633A8B"/>
    <w:pPr>
      <w:tabs>
        <w:tab w:val="center" w:pos="4153"/>
        <w:tab w:val="right" w:pos="8306"/>
      </w:tabs>
      <w:snapToGrid w:val="0"/>
      <w:jc w:val="left"/>
    </w:pPr>
    <w:rPr>
      <w:sz w:val="18"/>
      <w:szCs w:val="18"/>
    </w:rPr>
  </w:style>
  <w:style w:type="paragraph" w:styleId="a9">
    <w:name w:val="header"/>
    <w:basedOn w:val="a"/>
    <w:link w:val="Char0"/>
    <w:qFormat/>
    <w:rsid w:val="00633A8B"/>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rsid w:val="00633A8B"/>
    <w:pPr>
      <w:spacing w:before="100" w:beforeAutospacing="1" w:after="100" w:afterAutospacing="1"/>
      <w:ind w:right="238"/>
      <w:jc w:val="left"/>
    </w:pPr>
    <w:rPr>
      <w:b/>
      <w:kern w:val="0"/>
      <w:sz w:val="24"/>
      <w:szCs w:val="20"/>
    </w:rPr>
  </w:style>
  <w:style w:type="character" w:styleId="ab">
    <w:name w:val="Strong"/>
    <w:qFormat/>
    <w:rsid w:val="00633A8B"/>
    <w:rPr>
      <w:b/>
    </w:rPr>
  </w:style>
  <w:style w:type="character" w:styleId="ac">
    <w:name w:val="page number"/>
    <w:qFormat/>
    <w:rsid w:val="00633A8B"/>
  </w:style>
  <w:style w:type="character" w:customStyle="1" w:styleId="Char">
    <w:name w:val="页脚 Char"/>
    <w:link w:val="a8"/>
    <w:qFormat/>
    <w:rsid w:val="00633A8B"/>
    <w:rPr>
      <w:rFonts w:eastAsia="宋体"/>
      <w:kern w:val="2"/>
      <w:sz w:val="18"/>
      <w:szCs w:val="18"/>
      <w:lang w:val="en-US" w:eastAsia="zh-CN" w:bidi="ar-SA"/>
    </w:rPr>
  </w:style>
  <w:style w:type="character" w:customStyle="1" w:styleId="Char0">
    <w:name w:val="页眉 Char"/>
    <w:link w:val="a9"/>
    <w:qFormat/>
    <w:rsid w:val="00633A8B"/>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633A8B"/>
    <w:rPr>
      <w:rFonts w:ascii="Tahoma" w:hAnsi="Tahoma"/>
      <w:sz w:val="24"/>
      <w:szCs w:val="20"/>
    </w:rPr>
  </w:style>
  <w:style w:type="paragraph" w:customStyle="1" w:styleId="Char1CharCharChar">
    <w:name w:val="Char1 Char Char Char"/>
    <w:basedOn w:val="a"/>
    <w:qFormat/>
    <w:rsid w:val="00633A8B"/>
    <w:pPr>
      <w:widowControl/>
      <w:spacing w:after="160" w:line="240" w:lineRule="exact"/>
      <w:jc w:val="left"/>
    </w:pPr>
    <w:rPr>
      <w:szCs w:val="20"/>
    </w:rPr>
  </w:style>
  <w:style w:type="paragraph" w:customStyle="1" w:styleId="Char1">
    <w:name w:val="Char"/>
    <w:basedOn w:val="a"/>
    <w:qFormat/>
    <w:rsid w:val="00633A8B"/>
    <w:rPr>
      <w:rFonts w:ascii="Tahoma" w:hAnsi="Tahoma"/>
      <w:sz w:val="24"/>
      <w:szCs w:val="20"/>
    </w:rPr>
  </w:style>
  <w:style w:type="paragraph" w:customStyle="1" w:styleId="CharChar3CharChar">
    <w:name w:val="Char Char3 Char Char"/>
    <w:basedOn w:val="a"/>
    <w:qFormat/>
    <w:rsid w:val="00633A8B"/>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 Id="rId14"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oleObject" Target="file:///D:\&#24066;&#31185;&#22996;&#30456;&#20851;&#24037;&#20316;\&#37096;&#38376;&#20915;&#31639;&#24037;&#20316;\2022&#24180;\11-&#20915;&#31639;&#33609;&#26696;\&#20108;&#32423;&#39044;&#31639;&#21333;&#20301;\&#22797;&#26680;&#24213;&#31295;.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600" b="1" i="0" u="none" strike="noStrike" kern="1200" baseline="0">
                <a:solidFill>
                  <a:srgbClr val="000000"/>
                </a:solidFill>
                <a:latin typeface="+mn-lt"/>
                <a:ea typeface="+mn-ea"/>
                <a:cs typeface="+mn-cs"/>
              </a:defRPr>
            </a:pPr>
            <a:r>
              <a:t>收入决算</a:t>
            </a:r>
          </a:p>
        </c:rich>
      </c:tx>
      <c:spPr>
        <a:noFill/>
        <a:ln>
          <a:noFill/>
        </a:ln>
        <a:effectLst/>
      </c:spPr>
    </c:title>
    <c:plotArea>
      <c:layout>
        <c:manualLayout>
          <c:layoutTarget val="inner"/>
          <c:xMode val="edge"/>
          <c:yMode val="edge"/>
          <c:x val="0.32499677710455199"/>
          <c:y val="0.20653347732181401"/>
          <c:w val="0.34472089725409383"/>
          <c:h val="0.72192224622030265"/>
        </c:manualLayout>
      </c:layout>
      <c:pieChart>
        <c:varyColors val="1"/>
        <c:ser>
          <c:idx val="0"/>
          <c:order val="0"/>
          <c:dPt>
            <c:idx val="0"/>
            <c:spPr>
              <a:gradFill rotWithShape="1">
                <a:gsLst>
                  <a:gs pos="0">
                    <a:srgbClr val="688FC5">
                      <a:satMod val="103000"/>
                      <a:lumMod val="102000"/>
                      <a:tint val="94000"/>
                    </a:srgbClr>
                  </a:gs>
                  <a:gs pos="50000">
                    <a:srgbClr val="4A81C3">
                      <a:satMod val="110000"/>
                      <a:lumMod val="100000"/>
                      <a:shade val="100000"/>
                    </a:srgbClr>
                  </a:gs>
                  <a:gs pos="100000">
                    <a:srgbClr val="3A71B2">
                      <a:lumMod val="99000"/>
                      <a:satMod val="120000"/>
                      <a:shade val="78000"/>
                    </a:srgbClr>
                  </a:gs>
                </a:gsLst>
                <a:lin ang="5400000" scaled="0"/>
              </a:gradFill>
              <a:ln>
                <a:noFill/>
              </a:ln>
              <a:effectLst/>
            </c:spPr>
          </c:dPt>
          <c:dPt>
            <c:idx val="1"/>
            <c:spPr>
              <a:gradFill rotWithShape="1">
                <a:gsLst>
                  <a:gs pos="0">
                    <a:srgbClr val="C76966">
                      <a:satMod val="103000"/>
                      <a:lumMod val="102000"/>
                      <a:tint val="94000"/>
                    </a:srgbClr>
                  </a:gs>
                  <a:gs pos="50000">
                    <a:srgbClr val="C64B47">
                      <a:satMod val="110000"/>
                      <a:lumMod val="100000"/>
                      <a:shade val="100000"/>
                    </a:srgbClr>
                  </a:gs>
                  <a:gs pos="100000">
                    <a:srgbClr val="B63B38">
                      <a:lumMod val="99000"/>
                      <a:satMod val="120000"/>
                      <a:shade val="78000"/>
                    </a:srgbClr>
                  </a:gs>
                </a:gsLst>
                <a:lin ang="5400000" scaled="0"/>
              </a:gradFill>
              <a:ln>
                <a:noFill/>
              </a:ln>
              <a:effectLst/>
            </c:spPr>
          </c:dPt>
          <c:dLbls>
            <c:dLbl>
              <c:idx val="0"/>
              <c:layout>
                <c:manualLayout>
                  <c:x val="5.0172146627445326E-2"/>
                  <c:y val="-0.20971577034400304"/>
                </c:manualLayout>
              </c:layout>
              <c:dLblPos val="bestFit"/>
              <c:showPercent val="1"/>
              <c:extLst>
                <c:ext xmlns:c15="http://schemas.microsoft.com/office/drawing/2012/chart" uri="{CE6537A1-D6FC-4f65-9D91-7224C49458BB}">
                  <c15:layout/>
                </c:ext>
              </c:extLst>
            </c:dLbl>
            <c:dLbl>
              <c:idx val="1"/>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mn-lt"/>
                    <a:ea typeface="+mn-ea"/>
                    <a:cs typeface="+mn-cs"/>
                  </a:defRPr>
                </a:pPr>
                <a:endParaRPr lang="zh-CN"/>
              </a:p>
            </c:txPr>
            <c:dLblPos val="inEnd"/>
            <c:showPercent val="1"/>
            <c:showLeaderLines val="1"/>
            <c:extLst>
              <c:ext xmlns:c15="http://schemas.microsoft.com/office/drawing/2012/chart" uri="{CE6537A1-D6FC-4f65-9D91-7224C49458BB}">
                <c15:layout/>
                <c15:showLeaderLines val="1"/>
                <c15:leaderLines>
                  <c:spPr>
                    <a:ln w="9525">
                      <a:solidFill>
                        <a:srgbClr val="9CBDE6">
                          <a:lumMod val="35000"/>
                          <a:lumOff val="65000"/>
                        </a:srgbClr>
                      </a:solidFill>
                    </a:ln>
                    <a:effectLst/>
                  </c:spPr>
                </c15:leaderLines>
              </c:ext>
            </c:extLst>
          </c:dLbls>
          <c:cat>
            <c:strRef>
              <c:f>[复核底稿.xlsx]本级事业!$A$6:$A$7</c:f>
              <c:strCache>
                <c:ptCount val="2"/>
                <c:pt idx="0">
                  <c:v>       财政拨款收入</c:v>
                </c:pt>
                <c:pt idx="1">
                  <c:v>       其他收入</c:v>
                </c:pt>
              </c:strCache>
            </c:strRef>
          </c:cat>
          <c:val>
            <c:numRef>
              <c:f>[复核底稿.xlsx]本级事业!$B$6:$B$7</c:f>
              <c:numCache>
                <c:formatCode>#,##0.00_ </c:formatCode>
                <c:ptCount val="2"/>
                <c:pt idx="0">
                  <c:v>447486.75079999986</c:v>
                </c:pt>
                <c:pt idx="1">
                  <c:v>0</c:v>
                </c:pt>
              </c:numCache>
            </c:numRef>
          </c:val>
        </c:ser>
        <c:dLbls>
          <c:showPercent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endParaRPr lang="zh-CN"/>
          </a:p>
        </c:txPr>
      </c:legendEntry>
      <c:legendEntry>
        <c:idx val="1"/>
        <c:delete val="1"/>
      </c:legendEntry>
      <c:layout>
        <c:manualLayout>
          <c:xMode val="edge"/>
          <c:yMode val="edge"/>
          <c:x val="0.67338584216497732"/>
          <c:y val="0.47505091649694531"/>
        </c:manualLayout>
      </c:layout>
      <c:spPr>
        <a:noFill/>
        <a:ln>
          <a:noFill/>
        </a:ln>
        <a:effectLst/>
      </c:spPr>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endParaRPr lang="zh-CN"/>
        </a:p>
      </c:txPr>
    </c:legend>
    <c:plotVisOnly val="1"/>
    <c:dispBlanksAs val="zero"/>
    <c:extLst>
      <c:ext uri="{0b15fc19-7d7d-44ad-8c2d-2c3a37ce22c3}">
        <chartProps xmlns="https://web.wps.cn/et/2018/main" chartId="{55ebd3d8-0845-4bd6-a795-8b9530e7a872}"/>
      </c:ext>
    </c:extLst>
  </c:chart>
  <c:spPr>
    <a:solidFill>
      <a:srgbClr val="FFFFFF"/>
    </a:solidFill>
    <a:ln w="9525" cap="flat" cmpd="sng" algn="ctr">
      <a:solidFill>
        <a:schemeClr val="tx1"/>
      </a:solidFill>
      <a:round/>
    </a:ln>
    <a:effectLst/>
  </c:spPr>
  <c:txPr>
    <a:bodyPr/>
    <a:lstStyle/>
    <a:p>
      <a:pPr>
        <a:defRPr lang="zh-CN">
          <a:solidFill>
            <a:srgbClr val="000000"/>
          </a:solidFill>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endParaRPr lang="zh-CN"/>
        </a:p>
      </c:txPr>
    </c:title>
    <c:plotArea>
      <c:layout/>
      <c:pieChart>
        <c:varyColors val="1"/>
        <c:ser>
          <c:idx val="0"/>
          <c:order val="0"/>
          <c:tx>
            <c:strRef>
              <c:f>Sheet1!$B$1</c:f>
              <c:strCache>
                <c:ptCount val="1"/>
                <c:pt idx="0">
                  <c:v>支出决算</c:v>
                </c:pt>
              </c:strCache>
            </c:strRef>
          </c:tx>
          <c:dPt>
            <c:idx val="0"/>
            <c:spPr>
              <a:solidFill>
                <a:schemeClr val="accent1"/>
              </a:solidFill>
              <a:ln>
                <a:solidFill>
                  <a:schemeClr val="bg1"/>
                </a:solidFill>
              </a:ln>
              <a:effectLst/>
            </c:spPr>
          </c:dPt>
          <c:dPt>
            <c:idx val="1"/>
            <c:spPr>
              <a:solidFill>
                <a:schemeClr val="accent2"/>
              </a:solidFill>
              <a:ln>
                <a:solidFill>
                  <a:schemeClr val="bg1"/>
                </a:solidFill>
              </a:ln>
              <a:effectLst/>
            </c:spPr>
          </c:dPt>
          <c:dLbls>
            <c:dLbl>
              <c:idx val="0"/>
              <c:layout>
                <c:manualLayout>
                  <c:x val="-0.10982611291776602"/>
                  <c:y val="2.2228507369349206E-2"/>
                </c:manualLayout>
              </c:layout>
              <c:tx>
                <c:rich>
                  <a:bodyPr/>
                  <a:lstStyle/>
                  <a:p>
                    <a:r>
                      <a:t>0</a:t>
                    </a:r>
                    <a:r>
                      <a:rPr lang="en-US" altLang="zh-CN"/>
                      <a:t>.03</a:t>
                    </a:r>
                    <a:r>
                      <a:t>%</a:t>
                    </a:r>
                  </a:p>
                </c:rich>
              </c:tx>
              <c:dLblPos val="bestFit"/>
              <c:showPercent val="1"/>
              <c:extLst>
                <c:ext xmlns:c15="http://schemas.microsoft.com/office/drawing/2012/chart" uri="{CE6537A1-D6FC-4f65-9D91-7224C49458BB}">
                  <c15:layout>
                    <c:manualLayout>
                      <c:w val="0.0996701710987425"/>
                      <c:h val="0.0509632224168126"/>
                    </c:manualLayout>
                  </c15:layout>
                </c:ext>
              </c:extLst>
            </c:dLbl>
            <c:dLbl>
              <c:idx val="1"/>
              <c:tx>
                <c:rich>
                  <a:bodyPr/>
                  <a:lstStyle/>
                  <a:p>
                    <a:r>
                      <a:rPr lang="en-US" altLang="zh-CN"/>
                      <a:t>99.97%</a:t>
                    </a:r>
                  </a:p>
                </c:rich>
              </c:tx>
              <c:dLblPos val="inEnd"/>
              <c:showPercent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3.0000000000000002E-2</c:v>
                </c:pt>
                <c:pt idx="1">
                  <c:v>99.97</c:v>
                </c:pt>
              </c:numCache>
            </c:numRef>
          </c:val>
        </c:ser>
        <c:firstSliceAng val="0"/>
      </c:pieChart>
      <c:spPr>
        <a:noFill/>
        <a:ln>
          <a:noFill/>
        </a:ln>
        <a:effectLst/>
      </c:spPr>
    </c:plotArea>
    <c:legend>
      <c:legendPos val="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c:ext uri="{0b15fc19-7d7d-44ad-8c2d-2c3a37ce22c3}">
        <chartProps xmlns="https://web.wps.cn/et/2018/main" chartId="{cabb5c84-002d-468b-a9f4-650298777398}"/>
      </c:ext>
    </c:extLst>
  </c:chart>
  <c:spPr>
    <a:solidFill>
      <a:schemeClr val="bg1"/>
    </a:solidFill>
    <a:ln w="9525" cap="flat" cmpd="sng" algn="ctr">
      <a:no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1115</Words>
  <Characters>6358</Characters>
  <Application>Microsoft Office Word</Application>
  <DocSecurity>0</DocSecurity>
  <Lines>52</Lines>
  <Paragraphs>14</Paragraphs>
  <ScaleCrop>false</ScaleCrop>
  <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26</cp:revision>
  <cp:lastPrinted>2025-09-04T03:01:00Z</cp:lastPrinted>
  <dcterms:created xsi:type="dcterms:W3CDTF">2017-07-11T15:16:00Z</dcterms:created>
  <dcterms:modified xsi:type="dcterms:W3CDTF">2025-09-09T06:44:00Z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A12D771D248947E8AC2BD2883282BBA4_13</vt:lpwstr>
  </property>
  <property fmtid="{D5CDD505-2E9C-101B-9397-08002B2CF9AE}" pid="4" name="KSOTemplateDocerSaveRecord">
    <vt:lpwstr>eyJoZGlkIjoiYjVjNWRhMTNjZmE5MmIwMWMyMGYzN2MwN2UyNDYxYWIiLCJ1c2VySWQiOiIyNzMwNTg0MDkifQ==</vt:lpwstr>
  </property>
</Properties>
</file>