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F8089A">
      <w:pPr>
        <w:jc w:val="center"/>
        <w:rPr>
          <w:rFonts w:ascii="仿宋_GB2312" w:eastAsia="仿宋_GB2312"/>
          <w:b/>
          <w:sz w:val="32"/>
          <w:szCs w:val="32"/>
        </w:rPr>
      </w:pPr>
      <w:bookmarkStart w:id="0" w:name="_GoBack"/>
      <w:bookmarkEnd w:id="0"/>
    </w:p>
    <w:p w14:paraId="7C1221A9">
      <w:pPr>
        <w:jc w:val="center"/>
        <w:rPr>
          <w:rFonts w:ascii="黑体" w:eastAsia="黑体"/>
          <w:sz w:val="72"/>
          <w:szCs w:val="72"/>
        </w:rPr>
      </w:pPr>
    </w:p>
    <w:p w14:paraId="3B0AE465">
      <w:pPr>
        <w:jc w:val="center"/>
        <w:rPr>
          <w:rFonts w:ascii="黑体" w:eastAsia="黑体"/>
          <w:sz w:val="72"/>
          <w:szCs w:val="72"/>
        </w:rPr>
      </w:pPr>
    </w:p>
    <w:p w14:paraId="23E382C4">
      <w:pPr>
        <w:jc w:val="center"/>
        <w:rPr>
          <w:rFonts w:ascii="黑体" w:eastAsia="黑体"/>
          <w:sz w:val="72"/>
          <w:szCs w:val="72"/>
        </w:rPr>
      </w:pPr>
    </w:p>
    <w:p w14:paraId="0093AA88">
      <w:pPr>
        <w:jc w:val="center"/>
        <w:rPr>
          <w:rFonts w:ascii="黑体" w:eastAsia="黑体"/>
          <w:sz w:val="72"/>
          <w:szCs w:val="72"/>
        </w:rPr>
      </w:pPr>
    </w:p>
    <w:p w14:paraId="4A869EA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09B7D45">
      <w:pPr>
        <w:jc w:val="center"/>
        <w:rPr>
          <w:rFonts w:ascii="黑体" w:eastAsia="黑体"/>
          <w:sz w:val="52"/>
          <w:szCs w:val="52"/>
        </w:rPr>
      </w:pPr>
    </w:p>
    <w:p w14:paraId="26CCD9F4">
      <w:pPr>
        <w:jc w:val="center"/>
        <w:rPr>
          <w:rFonts w:ascii="黑体" w:eastAsia="黑体"/>
          <w:sz w:val="52"/>
          <w:szCs w:val="52"/>
        </w:rPr>
      </w:pPr>
    </w:p>
    <w:p w14:paraId="1C44B18A">
      <w:pPr>
        <w:jc w:val="center"/>
        <w:rPr>
          <w:rFonts w:ascii="黑体" w:eastAsia="黑体"/>
          <w:sz w:val="52"/>
          <w:szCs w:val="52"/>
        </w:rPr>
      </w:pPr>
    </w:p>
    <w:p w14:paraId="759E5F53">
      <w:pPr>
        <w:jc w:val="center"/>
        <w:rPr>
          <w:rFonts w:ascii="黑体" w:eastAsia="黑体"/>
          <w:sz w:val="52"/>
          <w:szCs w:val="52"/>
        </w:rPr>
      </w:pPr>
    </w:p>
    <w:p w14:paraId="209174EB">
      <w:pPr>
        <w:jc w:val="center"/>
        <w:rPr>
          <w:rFonts w:ascii="黑体" w:eastAsia="黑体"/>
          <w:sz w:val="32"/>
          <w:szCs w:val="32"/>
        </w:rPr>
      </w:pPr>
    </w:p>
    <w:p w14:paraId="1CB5A057">
      <w:pPr>
        <w:spacing w:line="500" w:lineRule="exact"/>
        <w:ind w:firstLine="645"/>
        <w:jc w:val="center"/>
        <w:rPr>
          <w:rFonts w:hint="eastAsia" w:ascii="宋体" w:hAnsi="宋体" w:cs="宋体"/>
          <w:b/>
          <w:bCs/>
          <w:kern w:val="0"/>
          <w:sz w:val="44"/>
          <w:szCs w:val="36"/>
        </w:rPr>
        <w:sectPr>
          <w:footerReference r:id="rId3" w:type="default"/>
          <w:pgSz w:w="16838" w:h="11906" w:orient="landscape"/>
          <w:pgMar w:top="1134" w:right="1134" w:bottom="1134" w:left="1134" w:header="851" w:footer="992" w:gutter="0"/>
          <w:pgNumType w:fmt="decimal"/>
          <w:cols w:space="720" w:num="1"/>
          <w:docGrid w:type="linesAndChars" w:linePitch="312" w:charSpace="0"/>
        </w:sectPr>
      </w:pPr>
    </w:p>
    <w:p w14:paraId="70F00328">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744A44E6">
      <w:pPr>
        <w:spacing w:line="500" w:lineRule="exact"/>
        <w:ind w:firstLine="645"/>
        <w:jc w:val="center"/>
        <w:rPr>
          <w:rFonts w:hint="eastAsia" w:ascii="宋体" w:hAnsi="宋体" w:cs="宋体"/>
          <w:b/>
          <w:bCs/>
          <w:kern w:val="0"/>
          <w:sz w:val="36"/>
          <w:szCs w:val="36"/>
        </w:rPr>
      </w:pPr>
    </w:p>
    <w:p w14:paraId="5A1D0236">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3E7124F1">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06C1102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46E92B7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AA6D57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161E923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07D0A0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F6C8DB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2ADB538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A7DA0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2352268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39B300A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27ABE0E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5835CEF8">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43A096C1">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491F836F">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4E1DEFEC">
      <w:pPr>
        <w:tabs>
          <w:tab w:val="center" w:pos="6979"/>
        </w:tabs>
        <w:spacing w:before="156" w:beforeLines="50" w:after="156" w:afterLines="50"/>
        <w:jc w:val="center"/>
        <w:rPr>
          <w:rFonts w:ascii="宋体" w:hAnsi="宋体" w:cs="宋体"/>
          <w:b/>
          <w:bCs/>
          <w:spacing w:val="40"/>
          <w:kern w:val="0"/>
          <w:sz w:val="32"/>
          <w:szCs w:val="32"/>
        </w:rPr>
      </w:pPr>
    </w:p>
    <w:p w14:paraId="14D27F05">
      <w:pPr>
        <w:tabs>
          <w:tab w:val="center" w:pos="6979"/>
        </w:tabs>
        <w:spacing w:before="156" w:beforeLines="50" w:after="156" w:afterLines="50"/>
        <w:jc w:val="center"/>
        <w:rPr>
          <w:rFonts w:ascii="宋体" w:hAnsi="宋体" w:cs="宋体"/>
          <w:b/>
          <w:bCs/>
          <w:spacing w:val="40"/>
          <w:kern w:val="0"/>
          <w:sz w:val="32"/>
          <w:szCs w:val="32"/>
        </w:rPr>
      </w:pPr>
    </w:p>
    <w:p w14:paraId="272AB469">
      <w:pPr>
        <w:tabs>
          <w:tab w:val="center" w:pos="6979"/>
        </w:tabs>
        <w:spacing w:before="156" w:beforeLines="50" w:after="156" w:afterLines="50"/>
        <w:jc w:val="center"/>
        <w:rPr>
          <w:rFonts w:ascii="宋体" w:hAnsi="宋体" w:cs="宋体"/>
          <w:b/>
          <w:bCs/>
          <w:spacing w:val="40"/>
          <w:kern w:val="0"/>
          <w:sz w:val="32"/>
          <w:szCs w:val="32"/>
        </w:rPr>
      </w:pPr>
    </w:p>
    <w:p w14:paraId="1F798A6D">
      <w:pPr>
        <w:tabs>
          <w:tab w:val="center" w:pos="6979"/>
        </w:tabs>
        <w:spacing w:before="156" w:beforeLines="50" w:after="156" w:afterLines="50"/>
        <w:jc w:val="center"/>
        <w:rPr>
          <w:rFonts w:ascii="宋体" w:hAnsi="宋体" w:cs="宋体"/>
          <w:b/>
          <w:bCs/>
          <w:spacing w:val="40"/>
          <w:kern w:val="0"/>
          <w:sz w:val="32"/>
          <w:szCs w:val="32"/>
        </w:rPr>
      </w:pPr>
    </w:p>
    <w:p w14:paraId="7738C62F">
      <w:pPr>
        <w:tabs>
          <w:tab w:val="center" w:pos="6979"/>
        </w:tabs>
        <w:spacing w:before="156" w:beforeLines="50" w:after="156" w:afterLines="50"/>
        <w:jc w:val="center"/>
        <w:rPr>
          <w:rFonts w:ascii="宋体" w:hAnsi="宋体" w:cs="宋体"/>
          <w:b/>
          <w:bCs/>
          <w:spacing w:val="40"/>
          <w:kern w:val="0"/>
          <w:sz w:val="32"/>
          <w:szCs w:val="32"/>
        </w:rPr>
      </w:pPr>
    </w:p>
    <w:p w14:paraId="2B676044">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779A7B6F">
      <w:pPr>
        <w:pStyle w:val="2"/>
        <w:rPr>
          <w:b w:val="0"/>
          <w:bCs w:val="0"/>
        </w:rPr>
        <w:sectPr>
          <w:footerReference r:id="rId4" w:type="default"/>
          <w:pgSz w:w="16838" w:h="11906" w:orient="landscape"/>
          <w:pgMar w:top="1134" w:right="1134" w:bottom="1134" w:left="1134" w:header="851" w:footer="992" w:gutter="0"/>
          <w:pgNumType w:fmt="decimal" w:start="2"/>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3F82B1E9">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26EA4693">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730F3B1C">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北京技术市场管理办公室根据《中共北京市委机构编制委员会关于市科委、中关村管委会所属事业单位改革有关事项的批复》（京编委〔2021〕66号），为公益一类事业单位。主要职责是</w:t>
      </w:r>
      <w:r>
        <w:rPr>
          <w:rFonts w:hint="eastAsia" w:ascii="仿宋_GB2312" w:eastAsia="仿宋_GB2312"/>
          <w:kern w:val="0"/>
          <w:sz w:val="28"/>
          <w:szCs w:val="28"/>
          <w:lang w:eastAsia="zh-CN"/>
        </w:rPr>
        <w:t>：</w:t>
      </w:r>
      <w:r>
        <w:rPr>
          <w:rFonts w:hint="eastAsia" w:ascii="仿宋_GB2312" w:eastAsia="仿宋_GB2312"/>
          <w:kern w:val="0"/>
          <w:sz w:val="28"/>
          <w:szCs w:val="28"/>
        </w:rPr>
        <w:t>承担北京技术市场日常管理监督工作，技术合同认定登记和技术合同登记机构管理，技术市场统计和分析等工作。</w:t>
      </w:r>
    </w:p>
    <w:p w14:paraId="14B6C265">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本单位内设部门分别是综合管理科、登记管理科、监督管理科和统计监测科。</w:t>
      </w:r>
    </w:p>
    <w:p w14:paraId="1A09A974">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21A1AEB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2064.53</w:t>
      </w:r>
      <w:r>
        <w:rPr>
          <w:rFonts w:hint="eastAsia" w:ascii="仿宋_GB2312" w:eastAsia="仿宋_GB2312"/>
          <w:sz w:val="28"/>
          <w:szCs w:val="28"/>
        </w:rPr>
        <w:t>万元，比上年减少30</w:t>
      </w:r>
      <w:r>
        <w:rPr>
          <w:rFonts w:hint="eastAsia" w:ascii="仿宋_GB2312" w:eastAsia="仿宋_GB2312"/>
          <w:sz w:val="28"/>
          <w:szCs w:val="28"/>
          <w:lang w:val="en-US" w:eastAsia="zh-CN"/>
        </w:rPr>
        <w:t>4</w:t>
      </w:r>
      <w:r>
        <w:rPr>
          <w:rFonts w:hint="eastAsia" w:ascii="仿宋_GB2312" w:eastAsia="仿宋_GB2312"/>
          <w:sz w:val="28"/>
          <w:szCs w:val="28"/>
        </w:rPr>
        <w:t>.44万元，下降12.85%。</w:t>
      </w:r>
    </w:p>
    <w:p w14:paraId="19837EBA">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3ADAF3A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年度本年收入合计</w:t>
      </w:r>
      <w:r>
        <w:rPr>
          <w:rFonts w:ascii="仿宋_GB2312" w:eastAsia="仿宋_GB2312"/>
          <w:sz w:val="28"/>
          <w:szCs w:val="28"/>
        </w:rPr>
        <w:t>1817.51</w:t>
      </w:r>
      <w:r>
        <w:rPr>
          <w:rFonts w:hint="eastAsia" w:ascii="仿宋_GB2312" w:eastAsia="仿宋_GB2312"/>
          <w:sz w:val="28"/>
          <w:szCs w:val="28"/>
        </w:rPr>
        <w:t>万元，比上年减少277.76万元，下降13.26%</w:t>
      </w:r>
      <w:r>
        <w:rPr>
          <w:rFonts w:hint="eastAsia" w:ascii="仿宋_GB2312" w:eastAsia="仿宋_GB2312"/>
          <w:sz w:val="28"/>
          <w:szCs w:val="28"/>
          <w:lang w:eastAsia="zh-CN"/>
        </w:rPr>
        <w:t>。</w:t>
      </w:r>
    </w:p>
    <w:p w14:paraId="6CF28630">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1796.55</w:t>
      </w:r>
      <w:r>
        <w:rPr>
          <w:rFonts w:hint="eastAsia" w:ascii="仿宋_GB2312" w:eastAsia="仿宋_GB2312"/>
          <w:sz w:val="28"/>
          <w:szCs w:val="28"/>
        </w:rPr>
        <w:t>万元，占收入合计的</w:t>
      </w:r>
      <w:r>
        <w:rPr>
          <w:rFonts w:hint="eastAsia" w:ascii="仿宋_GB2312" w:eastAsia="仿宋_GB2312"/>
          <w:sz w:val="28"/>
          <w:szCs w:val="28"/>
          <w:lang w:eastAsia="zh-CN"/>
        </w:rPr>
        <w:t>98.85%。</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1796.55</w:t>
      </w:r>
      <w:r>
        <w:rPr>
          <w:rFonts w:hint="eastAsia" w:ascii="仿宋_GB2312" w:eastAsia="仿宋_GB2312"/>
          <w:sz w:val="28"/>
          <w:szCs w:val="28"/>
        </w:rPr>
        <w:t>万元，占收入合计的</w:t>
      </w:r>
      <w:r>
        <w:rPr>
          <w:rFonts w:hint="eastAsia" w:ascii="仿宋_GB2312" w:eastAsia="仿宋_GB2312"/>
          <w:sz w:val="28"/>
          <w:szCs w:val="28"/>
          <w:lang w:eastAsia="zh-CN"/>
        </w:rPr>
        <w:t>98.85</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ADAA880">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3A1F0A8">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319DE1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7A8500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9668B1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20.96</w:t>
      </w:r>
      <w:r>
        <w:rPr>
          <w:rFonts w:hint="eastAsia" w:ascii="仿宋_GB2312" w:eastAsia="仿宋_GB2312"/>
          <w:sz w:val="28"/>
          <w:szCs w:val="28"/>
        </w:rPr>
        <w:t>万元，占收入合计的</w:t>
      </w:r>
      <w:r>
        <w:rPr>
          <w:rFonts w:hint="eastAsia" w:ascii="仿宋_GB2312" w:eastAsia="仿宋_GB2312"/>
          <w:sz w:val="28"/>
          <w:szCs w:val="28"/>
          <w:lang w:eastAsia="zh-CN"/>
        </w:rPr>
        <w:t>1.15</w:t>
      </w:r>
      <w:r>
        <w:rPr>
          <w:rFonts w:hint="eastAsia" w:ascii="仿宋_GB2312" w:eastAsia="仿宋_GB2312"/>
          <w:sz w:val="28"/>
          <w:szCs w:val="28"/>
        </w:rPr>
        <w:t>%。</w:t>
      </w:r>
    </w:p>
    <w:p w14:paraId="5C9CDF28">
      <w:pPr>
        <w:pStyle w:val="2"/>
        <w:ind w:firstLine="0"/>
        <w:jc w:val="center"/>
      </w:pPr>
      <w:r>
        <w:rPr>
          <w:rFonts w:hint="eastAsia" w:ascii="仿宋_GB2312" w:eastAsia="仿宋_GB2312"/>
          <w:color w:val="000000"/>
          <w:sz w:val="32"/>
          <w:szCs w:val="32"/>
          <w:highlight w:val="none"/>
          <w:lang w:val="en-US" w:eastAsia="zh-CN"/>
        </w:rPr>
        <w:t>图1：收入决算</w:t>
      </w:r>
    </w:p>
    <w:p w14:paraId="4F3766FA">
      <w:pPr>
        <w:pStyle w:val="3"/>
        <w:ind w:firstLine="420"/>
        <w:jc w:val="center"/>
      </w:pPr>
      <w:r>
        <w:drawing>
          <wp:inline distT="0" distB="0" distL="0" distR="0">
            <wp:extent cx="4036695" cy="2328545"/>
            <wp:effectExtent l="6350" t="6350" r="82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A04F46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5D6ED50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1692.91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减少102.64万元，下降5.72%，其中：基本支出</w:t>
      </w:r>
      <w:r>
        <w:rPr>
          <w:rFonts w:ascii="仿宋_GB2312" w:eastAsia="仿宋_GB2312"/>
          <w:sz w:val="28"/>
          <w:szCs w:val="28"/>
        </w:rPr>
        <w:t>640.54</w:t>
      </w:r>
      <w:r>
        <w:rPr>
          <w:rFonts w:hint="eastAsia" w:ascii="仿宋_GB2312" w:eastAsia="仿宋_GB2312"/>
          <w:sz w:val="28"/>
          <w:szCs w:val="28"/>
        </w:rPr>
        <w:t>万元，占支出合计的</w:t>
      </w:r>
      <w:r>
        <w:rPr>
          <w:rFonts w:hint="eastAsia" w:ascii="仿宋_GB2312" w:eastAsia="仿宋_GB2312"/>
          <w:sz w:val="28"/>
          <w:szCs w:val="28"/>
          <w:lang w:eastAsia="zh-CN"/>
        </w:rPr>
        <w:t>37.84</w:t>
      </w:r>
      <w:r>
        <w:rPr>
          <w:rFonts w:hint="eastAsia" w:ascii="仿宋_GB2312" w:eastAsia="仿宋_GB2312"/>
          <w:sz w:val="28"/>
          <w:szCs w:val="28"/>
        </w:rPr>
        <w:t>%；项目支出</w:t>
      </w:r>
      <w:r>
        <w:rPr>
          <w:rFonts w:ascii="仿宋_GB2312" w:eastAsia="仿宋_GB2312"/>
          <w:sz w:val="28"/>
          <w:szCs w:val="28"/>
        </w:rPr>
        <w:t>1052.37</w:t>
      </w:r>
      <w:r>
        <w:rPr>
          <w:rFonts w:hint="eastAsia" w:ascii="仿宋_GB2312" w:eastAsia="仿宋_GB2312"/>
          <w:sz w:val="28"/>
          <w:szCs w:val="28"/>
        </w:rPr>
        <w:t>万元，占支出合计的</w:t>
      </w:r>
      <w:r>
        <w:rPr>
          <w:rFonts w:hint="eastAsia" w:ascii="仿宋_GB2312" w:eastAsia="仿宋_GB2312"/>
          <w:sz w:val="28"/>
          <w:szCs w:val="28"/>
          <w:lang w:eastAsia="zh-CN"/>
        </w:rPr>
        <w:t>62.16</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2C7E6A67">
      <w:pPr>
        <w:pStyle w:val="2"/>
        <w:ind w:firstLine="642"/>
        <w:jc w:val="center"/>
        <w:rPr>
          <w:rFonts w:hint="eastAsia" w:ascii="仿宋_GB2312" w:eastAsia="仿宋_GB2312"/>
          <w:color w:val="000000"/>
          <w:sz w:val="32"/>
          <w:lang w:eastAsia="zh-CN"/>
        </w:rPr>
      </w:pPr>
      <w:r>
        <w:rPr>
          <w:rFonts w:hint="eastAsia" w:ascii="仿宋_GB2312" w:eastAsia="仿宋_GB2312"/>
          <w:color w:val="000000"/>
          <w:sz w:val="32"/>
        </w:rPr>
        <w:t>图2：基本支出和项目支出情况</w:t>
      </w:r>
    </w:p>
    <w:p w14:paraId="346464F8">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C493672">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53B93FC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1796.55</w:t>
      </w:r>
      <w:r>
        <w:rPr>
          <w:rFonts w:hint="eastAsia" w:ascii="仿宋_GB2312" w:eastAsia="仿宋_GB2312"/>
          <w:sz w:val="28"/>
          <w:szCs w:val="28"/>
        </w:rPr>
        <w:t>万元，比上年减少</w:t>
      </w:r>
      <w:r>
        <w:rPr>
          <w:rFonts w:hint="eastAsia" w:ascii="仿宋_GB2312" w:eastAsia="仿宋_GB2312"/>
          <w:sz w:val="28"/>
          <w:szCs w:val="28"/>
          <w:lang w:val="en-US" w:eastAsia="zh-CN"/>
        </w:rPr>
        <w:t>298.72</w:t>
      </w:r>
      <w:r>
        <w:rPr>
          <w:rFonts w:hint="eastAsia" w:ascii="仿宋_GB2312" w:eastAsia="仿宋_GB2312"/>
          <w:sz w:val="28"/>
          <w:szCs w:val="28"/>
        </w:rPr>
        <w:t>万元，下降</w:t>
      </w:r>
      <w:r>
        <w:rPr>
          <w:rFonts w:hint="eastAsia" w:ascii="仿宋_GB2312" w:eastAsia="仿宋_GB2312"/>
          <w:sz w:val="28"/>
          <w:szCs w:val="28"/>
          <w:lang w:val="en-US" w:eastAsia="zh-CN"/>
        </w:rPr>
        <w:t>14</w:t>
      </w:r>
      <w:r>
        <w:rPr>
          <w:rFonts w:ascii="仿宋_GB2312" w:eastAsia="仿宋_GB2312"/>
          <w:sz w:val="28"/>
          <w:szCs w:val="28"/>
        </w:rPr>
        <w:t>.</w:t>
      </w:r>
      <w:r>
        <w:rPr>
          <w:rFonts w:hint="eastAsia" w:ascii="仿宋_GB2312" w:eastAsia="仿宋_GB2312"/>
          <w:sz w:val="28"/>
          <w:szCs w:val="28"/>
          <w:lang w:val="en-US" w:eastAsia="zh-CN"/>
        </w:rPr>
        <w:t>26%</w:t>
      </w:r>
      <w:r>
        <w:rPr>
          <w:rFonts w:hint="eastAsia" w:ascii="仿宋_GB2312" w:eastAsia="仿宋_GB2312"/>
          <w:sz w:val="28"/>
          <w:szCs w:val="28"/>
        </w:rPr>
        <w:t>。主要原因：根据工作安排，调整技术市场发展专项</w:t>
      </w:r>
      <w:r>
        <w:rPr>
          <w:rFonts w:hint="eastAsia" w:ascii="仿宋_GB2312" w:eastAsia="仿宋_GB2312"/>
          <w:sz w:val="28"/>
          <w:szCs w:val="28"/>
          <w:lang w:val="en-US" w:eastAsia="zh-CN"/>
        </w:rPr>
        <w:t>等方面</w:t>
      </w:r>
      <w:r>
        <w:rPr>
          <w:rFonts w:hint="eastAsia" w:ascii="仿宋_GB2312" w:eastAsia="仿宋_GB2312"/>
          <w:sz w:val="28"/>
          <w:szCs w:val="28"/>
        </w:rPr>
        <w:t>经费支出。</w:t>
      </w:r>
    </w:p>
    <w:p w14:paraId="45FA4D48">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2F3CD54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5124CA43">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1665.18</w:t>
      </w:r>
      <w:r>
        <w:rPr>
          <w:rFonts w:hint="eastAsia" w:ascii="仿宋_GB2312" w:eastAsia="仿宋_GB2312"/>
          <w:sz w:val="28"/>
          <w:szCs w:val="28"/>
        </w:rPr>
        <w:t>万元，主要用于以下方面（按大类）：教育支出</w:t>
      </w:r>
      <w:r>
        <w:rPr>
          <w:rFonts w:hint="eastAsia" w:ascii="仿宋_GB2312" w:eastAsia="仿宋_GB2312"/>
          <w:sz w:val="28"/>
          <w:szCs w:val="28"/>
          <w:lang w:val="en-US" w:eastAsia="zh-CN"/>
        </w:rPr>
        <w:t>0.98</w:t>
      </w:r>
      <w:r>
        <w:rPr>
          <w:rFonts w:hint="eastAsia" w:ascii="仿宋_GB2312" w:eastAsia="仿宋_GB2312"/>
          <w:sz w:val="28"/>
          <w:szCs w:val="28"/>
        </w:rPr>
        <w:t>万元，占本年财政拨款支出0.06%；科学技术支出16</w:t>
      </w:r>
      <w:r>
        <w:rPr>
          <w:rFonts w:hint="eastAsia" w:ascii="仿宋_GB2312" w:eastAsia="仿宋_GB2312"/>
          <w:sz w:val="28"/>
          <w:szCs w:val="28"/>
          <w:lang w:val="en-US" w:eastAsia="zh-CN"/>
        </w:rPr>
        <w:t>26</w:t>
      </w:r>
      <w:r>
        <w:rPr>
          <w:rFonts w:hint="eastAsia" w:ascii="仿宋_GB2312" w:eastAsia="仿宋_GB2312"/>
          <w:sz w:val="28"/>
          <w:szCs w:val="28"/>
        </w:rPr>
        <w:t>.</w:t>
      </w:r>
      <w:r>
        <w:rPr>
          <w:rFonts w:hint="eastAsia" w:ascii="仿宋_GB2312" w:eastAsia="仿宋_GB2312"/>
          <w:sz w:val="28"/>
          <w:szCs w:val="28"/>
          <w:lang w:val="en-US" w:eastAsia="zh-CN"/>
        </w:rPr>
        <w:t>24</w:t>
      </w:r>
      <w:r>
        <w:rPr>
          <w:rFonts w:hint="eastAsia" w:ascii="仿宋_GB2312" w:eastAsia="仿宋_GB2312"/>
          <w:sz w:val="28"/>
          <w:szCs w:val="28"/>
        </w:rPr>
        <w:t>万元，占本年财政拨款支出9</w:t>
      </w:r>
      <w:r>
        <w:rPr>
          <w:rFonts w:hint="eastAsia" w:ascii="仿宋_GB2312" w:eastAsia="仿宋_GB2312"/>
          <w:sz w:val="28"/>
          <w:szCs w:val="28"/>
          <w:lang w:val="en-US" w:eastAsia="zh-CN"/>
        </w:rPr>
        <w:t>7.66</w:t>
      </w:r>
      <w:r>
        <w:rPr>
          <w:rFonts w:hint="eastAsia" w:ascii="仿宋_GB2312" w:eastAsia="仿宋_GB2312"/>
          <w:sz w:val="28"/>
          <w:szCs w:val="28"/>
        </w:rPr>
        <w:t>%；社会保障和就业支出37.9</w:t>
      </w:r>
      <w:r>
        <w:rPr>
          <w:rFonts w:hint="eastAsia" w:ascii="仿宋_GB2312" w:eastAsia="仿宋_GB2312"/>
          <w:sz w:val="28"/>
          <w:szCs w:val="28"/>
          <w:lang w:val="en-US" w:eastAsia="zh-CN"/>
        </w:rPr>
        <w:t>6</w:t>
      </w:r>
      <w:r>
        <w:rPr>
          <w:rFonts w:hint="eastAsia" w:ascii="仿宋_GB2312" w:eastAsia="仿宋_GB2312"/>
          <w:sz w:val="28"/>
          <w:szCs w:val="28"/>
        </w:rPr>
        <w:t>万元，占本年财政拨款支出2.</w:t>
      </w:r>
      <w:r>
        <w:rPr>
          <w:rFonts w:hint="eastAsia" w:ascii="仿宋_GB2312" w:eastAsia="仿宋_GB2312"/>
          <w:sz w:val="28"/>
          <w:szCs w:val="28"/>
          <w:lang w:val="en-US" w:eastAsia="zh-CN"/>
        </w:rPr>
        <w:t>28</w:t>
      </w:r>
      <w:r>
        <w:rPr>
          <w:rFonts w:hint="eastAsia" w:ascii="仿宋_GB2312" w:eastAsia="仿宋_GB2312"/>
          <w:sz w:val="28"/>
          <w:szCs w:val="28"/>
        </w:rPr>
        <w:t>%。</w:t>
      </w:r>
    </w:p>
    <w:p w14:paraId="139FB74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5868F1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1、“教育支出”202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1.04</w:t>
      </w:r>
      <w:r>
        <w:rPr>
          <w:rFonts w:hint="eastAsia" w:ascii="仿宋_GB2312" w:eastAsia="仿宋_GB2312"/>
          <w:sz w:val="28"/>
          <w:szCs w:val="28"/>
        </w:rPr>
        <w:t>万元，</w:t>
      </w:r>
      <w:r>
        <w:rPr>
          <w:rFonts w:hint="eastAsia" w:ascii="仿宋_GB2312" w:eastAsia="仿宋_GB2312"/>
          <w:sz w:val="28"/>
          <w:szCs w:val="28"/>
          <w:lang w:eastAsia="zh-CN"/>
        </w:rPr>
        <w:t>2024</w:t>
      </w:r>
      <w:r>
        <w:rPr>
          <w:rFonts w:hint="eastAsia" w:ascii="仿宋_GB2312" w:eastAsia="仿宋_GB2312"/>
          <w:sz w:val="28"/>
          <w:szCs w:val="28"/>
        </w:rPr>
        <w:t>年度决算</w:t>
      </w:r>
      <w:r>
        <w:rPr>
          <w:rFonts w:hint="eastAsia" w:ascii="仿宋_GB2312" w:eastAsia="仿宋_GB2312"/>
          <w:sz w:val="28"/>
          <w:szCs w:val="28"/>
          <w:lang w:val="en-US" w:eastAsia="zh-CN"/>
        </w:rPr>
        <w:t>0.98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94.47</w:t>
      </w:r>
      <w:r>
        <w:rPr>
          <w:rFonts w:hint="eastAsia" w:ascii="仿宋_GB2312" w:eastAsia="仿宋_GB2312"/>
          <w:sz w:val="28"/>
          <w:szCs w:val="28"/>
        </w:rPr>
        <w:t>%</w:t>
      </w:r>
      <w:r>
        <w:rPr>
          <w:rFonts w:hint="eastAsia" w:ascii="仿宋_GB2312" w:eastAsia="仿宋_GB2312"/>
          <w:sz w:val="28"/>
          <w:szCs w:val="28"/>
          <w:lang w:val="en-US" w:eastAsia="zh-CN"/>
        </w:rPr>
        <w:t>。</w:t>
      </w:r>
      <w:r>
        <w:rPr>
          <w:rFonts w:hint="eastAsia" w:ascii="仿宋_GB2312" w:eastAsia="仿宋_GB2312"/>
          <w:sz w:val="28"/>
          <w:szCs w:val="28"/>
        </w:rPr>
        <w:t>其中：</w:t>
      </w:r>
    </w:p>
    <w:p w14:paraId="6A703AA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1.04</w:t>
      </w:r>
      <w:r>
        <w:rPr>
          <w:rFonts w:hint="eastAsia" w:ascii="仿宋_GB2312" w:eastAsia="仿宋_GB2312"/>
          <w:sz w:val="28"/>
          <w:szCs w:val="28"/>
        </w:rPr>
        <w:t>万元，</w:t>
      </w:r>
      <w:r>
        <w:rPr>
          <w:rFonts w:hint="eastAsia" w:ascii="仿宋_GB2312" w:eastAsia="仿宋_GB2312"/>
          <w:sz w:val="28"/>
          <w:szCs w:val="28"/>
          <w:lang w:eastAsia="zh-CN"/>
        </w:rPr>
        <w:t>2024</w:t>
      </w:r>
      <w:r>
        <w:rPr>
          <w:rFonts w:hint="eastAsia" w:ascii="仿宋_GB2312" w:eastAsia="仿宋_GB2312"/>
          <w:sz w:val="28"/>
          <w:szCs w:val="28"/>
        </w:rPr>
        <w:t>年度决算</w:t>
      </w:r>
      <w:r>
        <w:rPr>
          <w:rFonts w:hint="eastAsia" w:ascii="仿宋_GB2312" w:eastAsia="仿宋_GB2312"/>
          <w:sz w:val="28"/>
          <w:szCs w:val="28"/>
          <w:lang w:val="en-US" w:eastAsia="zh-CN"/>
        </w:rPr>
        <w:t>0.98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94.47</w:t>
      </w:r>
      <w:r>
        <w:rPr>
          <w:rFonts w:hint="eastAsia" w:ascii="仿宋_GB2312" w:eastAsia="仿宋_GB2312"/>
          <w:sz w:val="28"/>
          <w:szCs w:val="28"/>
        </w:rPr>
        <w:t>%。</w:t>
      </w:r>
      <w:r>
        <w:rPr>
          <w:rFonts w:hint="eastAsia" w:ascii="仿宋_GB2312" w:eastAsia="仿宋_GB2312"/>
          <w:sz w:val="28"/>
          <w:szCs w:val="28"/>
          <w:lang w:val="en-US" w:eastAsia="zh-CN"/>
        </w:rPr>
        <w:t>主要原因：落实政府“过紧日子”要求，厉行勤俭节约，严格控制相关经费支出</w:t>
      </w:r>
      <w:r>
        <w:rPr>
          <w:rFonts w:hint="eastAsia" w:ascii="仿宋_GB2312" w:eastAsia="仿宋_GB2312"/>
          <w:sz w:val="28"/>
          <w:szCs w:val="28"/>
        </w:rPr>
        <w:t>。</w:t>
      </w:r>
    </w:p>
    <w:p w14:paraId="3CD3FB1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2、“科学技术支出”202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1796.59</w:t>
      </w:r>
      <w:r>
        <w:rPr>
          <w:rFonts w:hint="eastAsia" w:ascii="仿宋_GB2312" w:eastAsia="仿宋_GB2312"/>
          <w:sz w:val="28"/>
          <w:szCs w:val="28"/>
        </w:rPr>
        <w:t>万元，</w:t>
      </w:r>
      <w:r>
        <w:rPr>
          <w:rFonts w:hint="eastAsia" w:ascii="仿宋_GB2312" w:eastAsia="仿宋_GB2312"/>
          <w:sz w:val="28"/>
          <w:szCs w:val="28"/>
          <w:lang w:eastAsia="zh-CN"/>
        </w:rPr>
        <w:t>2024</w:t>
      </w:r>
      <w:r>
        <w:rPr>
          <w:rFonts w:hint="eastAsia" w:ascii="仿宋_GB2312" w:eastAsia="仿宋_GB2312"/>
          <w:sz w:val="28"/>
          <w:szCs w:val="28"/>
        </w:rPr>
        <w:t>年度决算1626.24万元，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90.52</w:t>
      </w:r>
      <w:r>
        <w:rPr>
          <w:rFonts w:hint="eastAsia" w:ascii="仿宋_GB2312" w:eastAsia="仿宋_GB2312"/>
          <w:sz w:val="28"/>
          <w:szCs w:val="28"/>
        </w:rPr>
        <w:t>%。其中：</w:t>
      </w:r>
    </w:p>
    <w:p w14:paraId="0F305A1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“科学技术管理事务”202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707.19万元，</w:t>
      </w:r>
      <w:r>
        <w:rPr>
          <w:rFonts w:hint="eastAsia" w:ascii="仿宋_GB2312" w:eastAsia="仿宋_GB2312"/>
          <w:sz w:val="28"/>
          <w:szCs w:val="28"/>
          <w:lang w:eastAsia="zh-CN"/>
        </w:rPr>
        <w:t>2024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596.26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84.31</w:t>
      </w:r>
      <w:r>
        <w:rPr>
          <w:rFonts w:hint="eastAsia" w:ascii="仿宋_GB2312" w:eastAsia="仿宋_GB2312"/>
          <w:sz w:val="28"/>
          <w:szCs w:val="28"/>
        </w:rPr>
        <w:t>%。主要原因：</w:t>
      </w:r>
      <w:r>
        <w:rPr>
          <w:rFonts w:hint="eastAsia" w:ascii="仿宋_GB2312" w:eastAsia="仿宋_GB2312"/>
          <w:sz w:val="28"/>
          <w:szCs w:val="28"/>
          <w:highlight w:val="none"/>
        </w:rPr>
        <w:t>落实政府“过紧日子”要求，厉行勤俭节约，根据人员实际变化情况，压减相关经费支出。</w:t>
      </w:r>
    </w:p>
    <w:p w14:paraId="4AE692C4">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“科技条件与服务”202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1089.40万元，</w:t>
      </w:r>
      <w:r>
        <w:rPr>
          <w:rFonts w:hint="eastAsia" w:ascii="仿宋_GB2312" w:eastAsia="仿宋_GB2312"/>
          <w:sz w:val="28"/>
          <w:szCs w:val="28"/>
          <w:lang w:eastAsia="zh-CN"/>
        </w:rPr>
        <w:t>2024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1029.98</w:t>
      </w:r>
      <w:r>
        <w:rPr>
          <w:rFonts w:hint="eastAsia" w:ascii="仿宋_GB2312" w:eastAsia="仿宋_GB2312"/>
          <w:sz w:val="28"/>
          <w:szCs w:val="28"/>
          <w:highlight w:val="none"/>
        </w:rPr>
        <w:t>万元</w:t>
      </w:r>
      <w:r>
        <w:rPr>
          <w:rFonts w:hint="eastAsia" w:ascii="仿宋_GB2312" w:eastAsia="仿宋_GB2312"/>
          <w:sz w:val="28"/>
          <w:szCs w:val="28"/>
        </w:rPr>
        <w:t>，</w:t>
      </w:r>
      <w:r>
        <w:rPr>
          <w:rFonts w:hint="eastAsia" w:ascii="仿宋_GB2312" w:eastAsia="仿宋_GB2312"/>
          <w:sz w:val="28"/>
          <w:szCs w:val="28"/>
          <w:lang w:eastAsia="zh-CN"/>
        </w:rPr>
        <w:t>完成年初预算的</w:t>
      </w:r>
      <w:r>
        <w:rPr>
          <w:rFonts w:hint="eastAsia" w:ascii="仿宋_GB2312" w:eastAsia="仿宋_GB2312"/>
          <w:color w:val="auto"/>
          <w:sz w:val="28"/>
          <w:szCs w:val="28"/>
          <w:highlight w:val="none"/>
          <w:lang w:val="en-US" w:eastAsia="zh-CN"/>
        </w:rPr>
        <w:t>9</w:t>
      </w:r>
      <w:r>
        <w:rPr>
          <w:rFonts w:hint="eastAsia" w:ascii="仿宋_GB2312" w:eastAsia="仿宋_GB2312"/>
          <w:sz w:val="28"/>
          <w:szCs w:val="28"/>
          <w:lang w:val="en-US" w:eastAsia="zh-CN"/>
        </w:rPr>
        <w:t>4.55</w:t>
      </w:r>
      <w:r>
        <w:rPr>
          <w:rFonts w:hint="eastAsia" w:ascii="仿宋_GB2312" w:eastAsia="仿宋_GB2312"/>
          <w:sz w:val="28"/>
          <w:szCs w:val="28"/>
          <w:lang w:eastAsia="zh-CN"/>
        </w:rPr>
        <w:t>%。</w:t>
      </w:r>
      <w:r>
        <w:rPr>
          <w:rFonts w:hint="eastAsia" w:ascii="仿宋_GB2312" w:eastAsia="仿宋_GB2312"/>
          <w:sz w:val="28"/>
          <w:szCs w:val="28"/>
        </w:rPr>
        <w:t>主要原因：根</w:t>
      </w:r>
      <w:r>
        <w:rPr>
          <w:rFonts w:hint="eastAsia" w:ascii="仿宋_GB2312" w:eastAsia="仿宋_GB2312"/>
          <w:sz w:val="28"/>
          <w:szCs w:val="28"/>
          <w:highlight w:val="none"/>
        </w:rPr>
        <w:t>据工作安排，</w:t>
      </w:r>
      <w:r>
        <w:rPr>
          <w:rFonts w:hint="eastAsia" w:ascii="仿宋_GB2312" w:eastAsia="仿宋_GB2312"/>
          <w:sz w:val="28"/>
          <w:szCs w:val="28"/>
        </w:rPr>
        <w:t>调整技术市场发展专项</w:t>
      </w:r>
      <w:r>
        <w:rPr>
          <w:rFonts w:hint="eastAsia" w:ascii="仿宋_GB2312" w:eastAsia="仿宋_GB2312"/>
          <w:sz w:val="28"/>
          <w:szCs w:val="28"/>
          <w:lang w:val="en-US" w:eastAsia="zh-CN"/>
        </w:rPr>
        <w:t>等方面</w:t>
      </w:r>
      <w:r>
        <w:rPr>
          <w:rFonts w:hint="eastAsia" w:ascii="仿宋_GB2312" w:eastAsia="仿宋_GB2312"/>
          <w:sz w:val="28"/>
          <w:szCs w:val="28"/>
        </w:rPr>
        <w:t>经费支出</w:t>
      </w:r>
      <w:r>
        <w:rPr>
          <w:rFonts w:hint="eastAsia" w:ascii="仿宋_GB2312" w:eastAsia="仿宋_GB2312"/>
          <w:sz w:val="28"/>
          <w:szCs w:val="28"/>
          <w:highlight w:val="none"/>
        </w:rPr>
        <w:t>。</w:t>
      </w:r>
    </w:p>
    <w:p w14:paraId="611F3142">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3、“社会保障和就业支出”202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44.2</w:t>
      </w:r>
      <w:r>
        <w:rPr>
          <w:rFonts w:hint="eastAsia" w:ascii="仿宋_GB2312" w:eastAsia="仿宋_GB2312"/>
          <w:sz w:val="28"/>
          <w:szCs w:val="28"/>
          <w:highlight w:val="none"/>
          <w:lang w:val="en-US" w:eastAsia="zh-CN"/>
        </w:rPr>
        <w:t>5万元，</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年度决算37.96万元，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85.78</w:t>
      </w:r>
      <w:r>
        <w:rPr>
          <w:rFonts w:hint="eastAsia" w:ascii="仿宋_GB2312" w:eastAsia="仿宋_GB2312"/>
          <w:sz w:val="28"/>
          <w:szCs w:val="28"/>
          <w:highlight w:val="none"/>
        </w:rPr>
        <w:t>%。其中：</w:t>
      </w:r>
    </w:p>
    <w:p w14:paraId="2F768007">
      <w:pPr>
        <w:spacing w:line="580" w:lineRule="exact"/>
        <w:ind w:firstLine="560" w:firstLineChars="200"/>
        <w:rPr>
          <w:rFonts w:ascii="仿宋_GB2312" w:eastAsia="仿宋_GB2312"/>
          <w:sz w:val="28"/>
          <w:szCs w:val="28"/>
        </w:rPr>
      </w:pPr>
      <w:r>
        <w:rPr>
          <w:rFonts w:hint="eastAsia" w:ascii="仿宋_GB2312" w:eastAsia="仿宋_GB2312"/>
          <w:sz w:val="28"/>
          <w:szCs w:val="28"/>
          <w:highlight w:val="none"/>
        </w:rPr>
        <w:t>“行政事业单位养老支出”202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44.25万元，</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年度决算37.96万元，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85.78</w:t>
      </w:r>
      <w:r>
        <w:rPr>
          <w:rFonts w:hint="eastAsia" w:ascii="仿宋_GB2312" w:eastAsia="仿宋_GB2312"/>
          <w:sz w:val="28"/>
          <w:szCs w:val="28"/>
          <w:highlight w:val="none"/>
        </w:rPr>
        <w:t>%</w:t>
      </w:r>
      <w:r>
        <w:rPr>
          <w:rFonts w:hint="eastAsia" w:ascii="仿宋_GB2312" w:eastAsia="仿宋_GB2312"/>
          <w:sz w:val="28"/>
          <w:szCs w:val="28"/>
        </w:rPr>
        <w:t>。主要原因：</w:t>
      </w:r>
      <w:r>
        <w:rPr>
          <w:rFonts w:hint="eastAsia" w:ascii="仿宋_GB2312" w:eastAsia="仿宋_GB2312"/>
          <w:sz w:val="28"/>
          <w:szCs w:val="28"/>
          <w:highlight w:val="none"/>
        </w:rPr>
        <w:t>落实政府“过紧日子”要求，厉行勤俭节约，根据人员实际变化情况，压减相关经费支出。</w:t>
      </w:r>
    </w:p>
    <w:p w14:paraId="0FE37AFD">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D6BD0D7">
      <w:pPr>
        <w:spacing w:line="580" w:lineRule="exact"/>
        <w:ind w:firstLine="560" w:firstLineChars="200"/>
        <w:rPr>
          <w:rFonts w:ascii="仿宋_GB2312" w:eastAsia="仿宋_GB2312"/>
          <w:sz w:val="28"/>
          <w:szCs w:val="28"/>
        </w:rPr>
      </w:pPr>
      <w:r>
        <w:rPr>
          <w:rFonts w:hint="eastAsia" w:ascii="仿宋_GB2312" w:eastAsia="仿宋_GB2312"/>
          <w:sz w:val="28"/>
          <w:szCs w:val="28"/>
        </w:rPr>
        <w:t>本</w:t>
      </w:r>
      <w:r>
        <w:rPr>
          <w:rFonts w:hint="eastAsia" w:ascii="仿宋_GB2312" w:eastAsia="仿宋_GB2312"/>
          <w:sz w:val="28"/>
          <w:szCs w:val="28"/>
          <w:lang w:val="en-US" w:eastAsia="zh-CN"/>
        </w:rPr>
        <w:t>单位</w:t>
      </w:r>
      <w:r>
        <w:rPr>
          <w:rFonts w:hint="eastAsia" w:ascii="仿宋_GB2312" w:eastAsia="仿宋_GB2312"/>
          <w:sz w:val="28"/>
          <w:szCs w:val="28"/>
        </w:rPr>
        <w:t>无此项</w:t>
      </w:r>
      <w:r>
        <w:rPr>
          <w:rFonts w:hint="eastAsia" w:ascii="仿宋_GB2312" w:eastAsia="仿宋_GB2312"/>
          <w:sz w:val="28"/>
          <w:szCs w:val="28"/>
          <w:lang w:val="en-US" w:eastAsia="zh-CN"/>
        </w:rPr>
        <w:t>经费</w:t>
      </w:r>
      <w:r>
        <w:rPr>
          <w:rFonts w:hint="eastAsia" w:ascii="仿宋_GB2312" w:eastAsia="仿宋_GB2312"/>
          <w:sz w:val="28"/>
          <w:szCs w:val="28"/>
        </w:rPr>
        <w:t>。</w:t>
      </w:r>
    </w:p>
    <w:p w14:paraId="5F1E60A7">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643D41C2">
      <w:pPr>
        <w:ind w:firstLine="537" w:firstLineChars="192"/>
        <w:rPr>
          <w:rFonts w:ascii="仿宋_GB2312" w:eastAsia="仿宋_GB2312"/>
          <w:sz w:val="28"/>
          <w:szCs w:val="28"/>
        </w:rPr>
      </w:pPr>
      <w:r>
        <w:rPr>
          <w:rFonts w:hint="eastAsia" w:ascii="仿宋_GB2312" w:eastAsia="仿宋_GB2312"/>
          <w:sz w:val="28"/>
          <w:szCs w:val="28"/>
        </w:rPr>
        <w:t>本</w:t>
      </w:r>
      <w:r>
        <w:rPr>
          <w:rFonts w:hint="eastAsia" w:ascii="仿宋_GB2312" w:eastAsia="仿宋_GB2312"/>
          <w:sz w:val="28"/>
          <w:szCs w:val="28"/>
          <w:lang w:val="en-US" w:eastAsia="zh-CN"/>
        </w:rPr>
        <w:t>单位</w:t>
      </w:r>
      <w:r>
        <w:rPr>
          <w:rFonts w:hint="eastAsia" w:ascii="仿宋_GB2312" w:eastAsia="仿宋_GB2312"/>
          <w:sz w:val="28"/>
          <w:szCs w:val="28"/>
        </w:rPr>
        <w:t>无此项</w:t>
      </w:r>
      <w:r>
        <w:rPr>
          <w:rFonts w:hint="eastAsia" w:ascii="仿宋_GB2312" w:eastAsia="仿宋_GB2312"/>
          <w:sz w:val="28"/>
          <w:szCs w:val="28"/>
          <w:lang w:val="en-US" w:eastAsia="zh-CN"/>
        </w:rPr>
        <w:t>经费</w:t>
      </w:r>
      <w:r>
        <w:rPr>
          <w:rFonts w:hint="eastAsia" w:ascii="仿宋_GB2312" w:eastAsia="仿宋_GB2312"/>
          <w:sz w:val="28"/>
          <w:szCs w:val="28"/>
        </w:rPr>
        <w:t>。</w:t>
      </w:r>
    </w:p>
    <w:p w14:paraId="09D2197D">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1B93BE16">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619.58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2F4F9B82">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24B0A212">
      <w:pPr>
        <w:rPr>
          <w:rFonts w:hint="eastAsia" w:ascii="宋体" w:hAnsi="宋体" w:cs="宋体"/>
          <w:b/>
          <w:bCs/>
          <w:spacing w:val="40"/>
          <w:kern w:val="0"/>
          <w:sz w:val="32"/>
          <w:szCs w:val="32"/>
        </w:rPr>
      </w:pPr>
      <w:r>
        <w:rPr>
          <w:rFonts w:hint="eastAsia" w:ascii="宋体" w:hAnsi="宋体" w:cs="宋体"/>
          <w:b/>
          <w:bCs/>
          <w:spacing w:val="40"/>
          <w:kern w:val="0"/>
          <w:sz w:val="32"/>
          <w:szCs w:val="32"/>
        </w:rPr>
        <w:br w:type="page"/>
      </w:r>
    </w:p>
    <w:p w14:paraId="7DBB8550">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72FF1BF7">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503C69F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0.53</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2.57</w:t>
      </w:r>
      <w:r>
        <w:rPr>
          <w:rFonts w:hint="eastAsia" w:ascii="仿宋_GB2312" w:eastAsia="仿宋_GB2312"/>
          <w:sz w:val="28"/>
          <w:szCs w:val="28"/>
        </w:rPr>
        <w:t>万元减少</w:t>
      </w:r>
      <w:r>
        <w:rPr>
          <w:rFonts w:ascii="仿宋_GB2312" w:eastAsia="仿宋_GB2312"/>
          <w:sz w:val="28"/>
          <w:szCs w:val="28"/>
        </w:rPr>
        <w:t>2.04</w:t>
      </w:r>
      <w:r>
        <w:rPr>
          <w:rFonts w:hint="eastAsia" w:ascii="仿宋_GB2312" w:eastAsia="仿宋_GB2312"/>
          <w:sz w:val="28"/>
          <w:szCs w:val="28"/>
        </w:rPr>
        <w:t>万元。其中：</w:t>
      </w:r>
    </w:p>
    <w:p w14:paraId="76C62DB4">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1.因公出国（境）费用。本</w:t>
      </w:r>
      <w:r>
        <w:rPr>
          <w:rFonts w:hint="eastAsia" w:ascii="仿宋_GB2312" w:eastAsia="仿宋_GB2312"/>
          <w:sz w:val="28"/>
          <w:szCs w:val="28"/>
          <w:lang w:val="en-US" w:eastAsia="zh-CN"/>
        </w:rPr>
        <w:t>单位</w:t>
      </w:r>
      <w:r>
        <w:rPr>
          <w:rFonts w:hint="eastAsia" w:ascii="仿宋_GB2312" w:eastAsia="仿宋_GB2312"/>
          <w:sz w:val="28"/>
          <w:szCs w:val="28"/>
        </w:rPr>
        <w:t>无此项</w:t>
      </w:r>
      <w:r>
        <w:rPr>
          <w:rFonts w:hint="eastAsia" w:ascii="仿宋_GB2312" w:eastAsia="仿宋_GB2312"/>
          <w:sz w:val="28"/>
          <w:szCs w:val="28"/>
          <w:lang w:val="en-US" w:eastAsia="zh-CN"/>
        </w:rPr>
        <w:t>支出</w:t>
      </w:r>
      <w:r>
        <w:rPr>
          <w:rFonts w:hint="eastAsia" w:ascii="仿宋_GB2312" w:eastAsia="仿宋_GB2312"/>
          <w:sz w:val="28"/>
          <w:szCs w:val="28"/>
        </w:rPr>
        <w:t>。</w:t>
      </w:r>
    </w:p>
    <w:p w14:paraId="1FE03F75">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0.34</w:t>
      </w:r>
      <w:r>
        <w:rPr>
          <w:rFonts w:hint="eastAsia" w:ascii="仿宋_GB2312" w:eastAsia="仿宋_GB2312"/>
          <w:sz w:val="28"/>
          <w:szCs w:val="28"/>
        </w:rPr>
        <w:t>万元减少</w:t>
      </w:r>
      <w:r>
        <w:rPr>
          <w:rFonts w:ascii="仿宋_GB2312" w:eastAsia="仿宋_GB2312"/>
          <w:sz w:val="28"/>
          <w:szCs w:val="28"/>
        </w:rPr>
        <w:t>0.34</w:t>
      </w:r>
      <w:r>
        <w:rPr>
          <w:rFonts w:hint="eastAsia" w:ascii="仿宋_GB2312" w:eastAsia="仿宋_GB2312"/>
          <w:sz w:val="28"/>
          <w:szCs w:val="28"/>
        </w:rPr>
        <w:t>万元。主要原因：</w:t>
      </w:r>
      <w:r>
        <w:rPr>
          <w:rFonts w:hint="eastAsia" w:ascii="仿宋_GB2312" w:hAnsi="Times New Roman" w:eastAsia="仿宋_GB2312" w:cs="Times New Roman"/>
          <w:sz w:val="28"/>
          <w:szCs w:val="28"/>
          <w:lang w:val="en-US" w:eastAsia="zh-CN"/>
        </w:rPr>
        <w:t>本年度未发生公务接待费用</w:t>
      </w:r>
      <w:r>
        <w:rPr>
          <w:rFonts w:hint="eastAsia" w:ascii="仿宋_GB2312" w:eastAsia="仿宋_GB2312"/>
          <w:sz w:val="28"/>
          <w:szCs w:val="28"/>
        </w:rPr>
        <w:t>。</w:t>
      </w:r>
    </w:p>
    <w:p w14:paraId="22EAD682">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0.53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2.22</w:t>
      </w:r>
      <w:r>
        <w:rPr>
          <w:rFonts w:hint="eastAsia" w:ascii="仿宋_GB2312" w:eastAsia="仿宋_GB2312"/>
          <w:sz w:val="28"/>
          <w:szCs w:val="28"/>
        </w:rPr>
        <w:t>万元减少</w:t>
      </w:r>
      <w:r>
        <w:rPr>
          <w:rFonts w:ascii="仿宋_GB2312" w:eastAsia="仿宋_GB2312"/>
          <w:sz w:val="28"/>
          <w:szCs w:val="28"/>
        </w:rPr>
        <w:t>1.7</w:t>
      </w:r>
      <w:r>
        <w:rPr>
          <w:rFonts w:hint="eastAsia" w:ascii="仿宋_GB2312" w:eastAsia="仿宋_GB2312"/>
          <w:sz w:val="28"/>
          <w:szCs w:val="28"/>
          <w:lang w:val="en-US" w:eastAsia="zh-CN"/>
        </w:rPr>
        <w:t>0</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0.53</w:t>
      </w:r>
      <w:r>
        <w:rPr>
          <w:rFonts w:hint="eastAsia" w:ascii="仿宋_GB2312" w:eastAsia="仿宋_GB2312"/>
          <w:sz w:val="28"/>
          <w:szCs w:val="28"/>
        </w:rPr>
        <w:t>万元，主要原因：</w:t>
      </w:r>
      <w:r>
        <w:rPr>
          <w:rFonts w:hint="eastAsia" w:ascii="仿宋_GB2312" w:eastAsia="仿宋_GB2312"/>
          <w:sz w:val="28"/>
          <w:szCs w:val="28"/>
          <w:lang w:val="en-US" w:eastAsia="zh-CN"/>
        </w:rPr>
        <w:t>落实政府“过紧日子”要求，厉行勤俭节约，严格控制相关经费支出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highlight w:val="none"/>
        </w:rPr>
        <w:t>1</w:t>
      </w:r>
      <w:r>
        <w:rPr>
          <w:rFonts w:hint="eastAsia" w:ascii="仿宋_GB2312" w:eastAsia="仿宋_GB2312"/>
          <w:sz w:val="28"/>
          <w:szCs w:val="28"/>
        </w:rPr>
        <w:t>辆。</w:t>
      </w:r>
    </w:p>
    <w:p w14:paraId="510CE1E3">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48D7B95">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38.26</w:t>
      </w:r>
      <w:r>
        <w:rPr>
          <w:rFonts w:hint="eastAsia" w:ascii="仿宋_GB2312" w:eastAsia="仿宋_GB2312"/>
          <w:sz w:val="28"/>
          <w:szCs w:val="28"/>
        </w:rPr>
        <w:t>万元，比上年减少18.25万元，减少原因：</w:t>
      </w:r>
      <w:r>
        <w:rPr>
          <w:rFonts w:hint="eastAsia" w:ascii="仿宋_GB2312" w:eastAsia="仿宋_GB2312"/>
          <w:sz w:val="28"/>
          <w:szCs w:val="28"/>
          <w:lang w:val="en-US" w:eastAsia="zh-CN"/>
        </w:rPr>
        <w:t>落实政府“过紧日子”要求，厉行勤俭节约，严格控制相关经费支出</w:t>
      </w:r>
      <w:r>
        <w:rPr>
          <w:rFonts w:hint="eastAsia" w:ascii="仿宋_GB2312" w:eastAsia="仿宋_GB2312"/>
          <w:sz w:val="28"/>
          <w:szCs w:val="28"/>
        </w:rPr>
        <w:t>。</w:t>
      </w:r>
    </w:p>
    <w:p w14:paraId="7A933CC2">
      <w:pPr>
        <w:ind w:left="540"/>
        <w:rPr>
          <w:rFonts w:hint="eastAsia" w:ascii="黑体" w:eastAsia="黑体"/>
          <w:sz w:val="28"/>
          <w:szCs w:val="28"/>
        </w:rPr>
      </w:pPr>
      <w:r>
        <w:rPr>
          <w:rFonts w:hint="eastAsia" w:ascii="黑体" w:eastAsia="黑体"/>
          <w:sz w:val="28"/>
          <w:szCs w:val="28"/>
        </w:rPr>
        <w:t>三、政府采购支出情况</w:t>
      </w:r>
    </w:p>
    <w:p w14:paraId="1C9C25A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243.96</w:t>
      </w:r>
      <w:r>
        <w:rPr>
          <w:rFonts w:hint="eastAsia" w:ascii="仿宋_GB2312" w:eastAsia="仿宋_GB2312"/>
          <w:sz w:val="28"/>
          <w:szCs w:val="28"/>
        </w:rPr>
        <w:t>万元，其中：政府采购货物支出</w:t>
      </w:r>
      <w:r>
        <w:rPr>
          <w:rFonts w:ascii="仿宋_GB2312" w:eastAsia="仿宋_GB2312"/>
          <w:sz w:val="28"/>
          <w:szCs w:val="28"/>
        </w:rPr>
        <w:t>0.48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243.48</w:t>
      </w:r>
      <w:r>
        <w:rPr>
          <w:rFonts w:hint="eastAsia" w:ascii="仿宋_GB2312" w:eastAsia="仿宋_GB2312"/>
          <w:sz w:val="28"/>
          <w:szCs w:val="28"/>
        </w:rPr>
        <w:t>万元。授予中小企业合同金额</w:t>
      </w:r>
      <w:r>
        <w:rPr>
          <w:rFonts w:ascii="仿宋_GB2312" w:eastAsia="仿宋_GB2312"/>
          <w:sz w:val="28"/>
          <w:szCs w:val="28"/>
        </w:rPr>
        <w:t>195.97</w:t>
      </w:r>
      <w:r>
        <w:rPr>
          <w:rFonts w:hint="eastAsia" w:ascii="仿宋_GB2312" w:eastAsia="仿宋_GB2312"/>
          <w:sz w:val="28"/>
          <w:szCs w:val="28"/>
        </w:rPr>
        <w:t>万元，占政府采购支出总额的</w:t>
      </w:r>
      <w:r>
        <w:rPr>
          <w:rFonts w:hint="eastAsia" w:ascii="仿宋_GB2312" w:eastAsia="仿宋_GB2312"/>
          <w:sz w:val="28"/>
          <w:szCs w:val="28"/>
          <w:lang w:eastAsia="zh-CN"/>
        </w:rPr>
        <w:t>80.33</w:t>
      </w:r>
      <w:r>
        <w:rPr>
          <w:rFonts w:hint="eastAsia" w:ascii="仿宋_GB2312" w:eastAsia="仿宋_GB2312"/>
          <w:sz w:val="28"/>
          <w:szCs w:val="28"/>
        </w:rPr>
        <w:t>%，其中：授予小微企业合同金额</w:t>
      </w:r>
      <w:r>
        <w:rPr>
          <w:rFonts w:ascii="仿宋_GB2312" w:eastAsia="仿宋_GB2312"/>
          <w:sz w:val="28"/>
          <w:szCs w:val="28"/>
        </w:rPr>
        <w:t>190.81</w:t>
      </w:r>
      <w:r>
        <w:rPr>
          <w:rFonts w:hint="eastAsia" w:ascii="仿宋_GB2312" w:eastAsia="仿宋_GB2312"/>
          <w:sz w:val="28"/>
          <w:szCs w:val="28"/>
        </w:rPr>
        <w:t>万元，占政府采购支出总额的</w:t>
      </w:r>
      <w:r>
        <w:rPr>
          <w:rFonts w:ascii="仿宋_GB2312" w:eastAsia="仿宋_GB2312"/>
          <w:sz w:val="28"/>
          <w:szCs w:val="28"/>
        </w:rPr>
        <w:t>78.21</w:t>
      </w:r>
      <w:r>
        <w:rPr>
          <w:rFonts w:hint="eastAsia" w:ascii="仿宋_GB2312" w:eastAsia="仿宋_GB2312"/>
          <w:sz w:val="28"/>
          <w:szCs w:val="28"/>
        </w:rPr>
        <w:t>%。</w:t>
      </w:r>
    </w:p>
    <w:p w14:paraId="5B64D31B">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4C2DF74B">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12月31日，北京技术市场管理办公室</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595352BE">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2C2BBC3B">
      <w:pPr>
        <w:ind w:firstLine="537" w:firstLineChars="192"/>
        <w:rPr>
          <w:rFonts w:hint="eastAsia" w:ascii="仿宋_GB2312" w:eastAsia="仿宋_GB2312"/>
          <w:sz w:val="28"/>
          <w:szCs w:val="28"/>
        </w:rPr>
      </w:pPr>
      <w:r>
        <w:rPr>
          <w:rFonts w:hint="eastAsia" w:ascii="仿宋_GB2312" w:eastAsia="仿宋_GB2312"/>
          <w:sz w:val="28"/>
          <w:szCs w:val="28"/>
          <w:highlight w:val="none"/>
        </w:rPr>
        <w:t>本</w:t>
      </w:r>
      <w:r>
        <w:rPr>
          <w:rFonts w:hint="eastAsia" w:ascii="仿宋_GB2312" w:eastAsia="仿宋_GB2312"/>
          <w:sz w:val="28"/>
          <w:szCs w:val="28"/>
        </w:rPr>
        <w:t>单位不属于政府购买服务购买主体。</w:t>
      </w:r>
    </w:p>
    <w:p w14:paraId="41BF102E">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45914DF">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3CFCCA99">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3467AD85">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0D6A047">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2689576">
      <w:pPr>
        <w:ind w:firstLine="560" w:firstLineChars="200"/>
        <w:rPr>
          <w:rFonts w:hint="eastAsia"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14:paraId="7B1B55BD">
      <w:pPr>
        <w:ind w:firstLine="560" w:firstLineChars="200"/>
        <w:rPr>
          <w:rFonts w:hint="eastAsia"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A7E95B4">
      <w:pPr>
        <w:ind w:firstLine="560" w:firstLineChars="200"/>
        <w:rPr>
          <w:rFonts w:hint="eastAsia" w:ascii="仿宋_GB2312" w:eastAsia="仿宋_GB2312"/>
          <w:sz w:val="28"/>
          <w:szCs w:val="28"/>
        </w:rPr>
      </w:pPr>
      <w:r>
        <w:rPr>
          <w:rFonts w:hint="eastAsia" w:ascii="仿宋_GB2312" w:eastAsia="仿宋_GB2312"/>
          <w:sz w:val="28"/>
          <w:szCs w:val="28"/>
        </w:rPr>
        <w:t>7.支出功能分类项级科目名词解释</w:t>
      </w:r>
    </w:p>
    <w:p w14:paraId="762D790C">
      <w:pPr>
        <w:ind w:firstLine="560" w:firstLineChars="200"/>
        <w:rPr>
          <w:rFonts w:hint="eastAsia" w:ascii="仿宋_GB2312" w:eastAsia="仿宋_GB2312"/>
          <w:sz w:val="28"/>
          <w:szCs w:val="28"/>
        </w:rPr>
      </w:pPr>
      <w:r>
        <w:rPr>
          <w:rFonts w:hint="eastAsia" w:ascii="仿宋_GB2312" w:eastAsia="仿宋_GB2312"/>
          <w:sz w:val="28"/>
          <w:szCs w:val="28"/>
        </w:rPr>
        <w:t>（1）教育支出</w:t>
      </w:r>
      <w:r>
        <w:rPr>
          <w:rFonts w:hint="eastAsia" w:ascii="仿宋_GB2312" w:eastAsia="仿宋_GB2312"/>
          <w:sz w:val="28"/>
          <w:szCs w:val="28"/>
          <w:lang w:val="en-US" w:eastAsia="zh-CN"/>
        </w:rPr>
        <w:t>-</w:t>
      </w:r>
      <w:r>
        <w:rPr>
          <w:rFonts w:hint="eastAsia" w:ascii="仿宋_GB2312" w:eastAsia="仿宋_GB2312"/>
          <w:sz w:val="28"/>
          <w:szCs w:val="28"/>
        </w:rPr>
        <w:t>进修及培训</w:t>
      </w:r>
      <w:r>
        <w:rPr>
          <w:rFonts w:hint="eastAsia" w:ascii="仿宋_GB2312" w:eastAsia="仿宋_GB2312"/>
          <w:sz w:val="28"/>
          <w:szCs w:val="28"/>
          <w:lang w:val="en-US" w:eastAsia="zh-CN"/>
        </w:rPr>
        <w:t>-</w:t>
      </w:r>
      <w:r>
        <w:rPr>
          <w:rFonts w:hint="eastAsia" w:ascii="仿宋_GB2312" w:eastAsia="仿宋_GB2312"/>
          <w:sz w:val="28"/>
          <w:szCs w:val="28"/>
        </w:rPr>
        <w:t>培训支出：反映各部门安排的用于培训的支出。</w:t>
      </w:r>
    </w:p>
    <w:p w14:paraId="217B4B8A">
      <w:pPr>
        <w:ind w:firstLine="560" w:firstLineChars="200"/>
        <w:rPr>
          <w:rFonts w:hint="eastAsia" w:ascii="仿宋_GB2312" w:eastAsia="仿宋_GB2312"/>
          <w:sz w:val="28"/>
          <w:szCs w:val="28"/>
        </w:rPr>
      </w:pPr>
      <w:r>
        <w:rPr>
          <w:rFonts w:hint="eastAsia" w:ascii="仿宋_GB2312" w:eastAsia="仿宋_GB2312"/>
          <w:sz w:val="28"/>
          <w:szCs w:val="28"/>
        </w:rPr>
        <w:t>（2）科学技术支出</w:t>
      </w:r>
      <w:r>
        <w:rPr>
          <w:rFonts w:hint="eastAsia" w:ascii="仿宋_GB2312" w:eastAsia="仿宋_GB2312"/>
          <w:sz w:val="28"/>
          <w:szCs w:val="28"/>
          <w:lang w:val="en-US" w:eastAsia="zh-CN"/>
        </w:rPr>
        <w:t>-</w:t>
      </w:r>
      <w:r>
        <w:rPr>
          <w:rFonts w:hint="eastAsia" w:ascii="仿宋_GB2312" w:eastAsia="仿宋_GB2312"/>
          <w:sz w:val="28"/>
          <w:szCs w:val="28"/>
        </w:rPr>
        <w:t>科学技术管理事务</w:t>
      </w:r>
      <w:r>
        <w:rPr>
          <w:rFonts w:hint="eastAsia" w:ascii="仿宋_GB2312" w:eastAsia="仿宋_GB2312"/>
          <w:sz w:val="28"/>
          <w:szCs w:val="28"/>
          <w:lang w:val="en-US" w:eastAsia="zh-CN"/>
        </w:rPr>
        <w:t>-</w:t>
      </w:r>
      <w:r>
        <w:rPr>
          <w:rFonts w:hint="eastAsia" w:ascii="仿宋_GB2312" w:eastAsia="仿宋_GB2312"/>
          <w:sz w:val="28"/>
          <w:szCs w:val="28"/>
        </w:rPr>
        <w:t>行政运行：反映行政单位（包括实行公务员管理的事业单位）的基本支出。</w:t>
      </w:r>
    </w:p>
    <w:p w14:paraId="014F1487">
      <w:pPr>
        <w:ind w:firstLine="560" w:firstLineChars="200"/>
        <w:rPr>
          <w:rFonts w:hint="eastAsia" w:ascii="仿宋_GB2312" w:eastAsia="仿宋_GB2312"/>
          <w:sz w:val="28"/>
          <w:szCs w:val="28"/>
        </w:rPr>
      </w:pPr>
      <w:r>
        <w:rPr>
          <w:rFonts w:hint="eastAsia" w:ascii="仿宋_GB2312" w:eastAsia="仿宋_GB2312"/>
          <w:sz w:val="28"/>
          <w:szCs w:val="28"/>
        </w:rPr>
        <w:t>（3）科学技术支出</w:t>
      </w:r>
      <w:r>
        <w:rPr>
          <w:rFonts w:hint="eastAsia" w:ascii="仿宋_GB2312" w:eastAsia="仿宋_GB2312"/>
          <w:sz w:val="28"/>
          <w:szCs w:val="28"/>
          <w:lang w:val="en-US" w:eastAsia="zh-CN"/>
        </w:rPr>
        <w:t>-</w:t>
      </w:r>
      <w:r>
        <w:rPr>
          <w:rFonts w:hint="eastAsia" w:ascii="仿宋_GB2312" w:eastAsia="仿宋_GB2312"/>
          <w:sz w:val="28"/>
          <w:szCs w:val="28"/>
        </w:rPr>
        <w:t>科技条件与服务</w:t>
      </w:r>
      <w:r>
        <w:rPr>
          <w:rFonts w:hint="eastAsia" w:ascii="仿宋_GB2312" w:eastAsia="仿宋_GB2312"/>
          <w:sz w:val="28"/>
          <w:szCs w:val="28"/>
          <w:lang w:val="en-US" w:eastAsia="zh-CN"/>
        </w:rPr>
        <w:t>-</w:t>
      </w:r>
      <w:r>
        <w:rPr>
          <w:rFonts w:hint="eastAsia" w:ascii="仿宋_GB2312" w:eastAsia="仿宋_GB2312"/>
          <w:sz w:val="28"/>
          <w:szCs w:val="28"/>
        </w:rPr>
        <w:t>技术创新服务体系：反映国家为公益性行业、企业等提供信息、技术、中介等全方位服务和支持，建立健全技术服务体系等方面的支出。</w:t>
      </w:r>
    </w:p>
    <w:p w14:paraId="25FA2526">
      <w:pPr>
        <w:ind w:firstLine="560" w:firstLineChars="200"/>
        <w:rPr>
          <w:rFonts w:hint="eastAsia" w:ascii="仿宋_GB2312" w:eastAsia="仿宋_GB2312"/>
          <w:sz w:val="28"/>
          <w:szCs w:val="28"/>
        </w:rPr>
      </w:pPr>
      <w:r>
        <w:rPr>
          <w:rFonts w:hint="eastAsia" w:ascii="仿宋_GB2312" w:eastAsia="仿宋_GB2312"/>
          <w:sz w:val="28"/>
          <w:szCs w:val="28"/>
        </w:rPr>
        <w:t>（4）社会保障和就业支出</w:t>
      </w:r>
      <w:r>
        <w:rPr>
          <w:rFonts w:hint="eastAsia" w:ascii="仿宋_GB2312" w:eastAsia="仿宋_GB2312"/>
          <w:sz w:val="28"/>
          <w:szCs w:val="28"/>
          <w:lang w:val="en-US" w:eastAsia="zh-CN"/>
        </w:rPr>
        <w:t>-</w:t>
      </w:r>
      <w:r>
        <w:rPr>
          <w:rFonts w:hint="eastAsia" w:ascii="仿宋_GB2312" w:eastAsia="仿宋_GB2312"/>
          <w:sz w:val="28"/>
          <w:szCs w:val="28"/>
        </w:rPr>
        <w:t>行政事业单位养老支出</w:t>
      </w:r>
      <w:r>
        <w:rPr>
          <w:rFonts w:hint="eastAsia" w:ascii="仿宋_GB2312" w:eastAsia="仿宋_GB2312"/>
          <w:sz w:val="28"/>
          <w:szCs w:val="28"/>
          <w:lang w:val="en-US" w:eastAsia="zh-CN"/>
        </w:rPr>
        <w:t>-</w:t>
      </w:r>
      <w:r>
        <w:rPr>
          <w:rFonts w:hint="eastAsia" w:ascii="仿宋_GB2312" w:eastAsia="仿宋_GB2312"/>
          <w:sz w:val="28"/>
          <w:szCs w:val="28"/>
        </w:rPr>
        <w:t>行政单位离退休：反映行政单位（包括实行公务员管理的事业单位）开支的离退休经费。</w:t>
      </w:r>
    </w:p>
    <w:p w14:paraId="6892BCB5">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rPr>
        <w:t>（5）社会保障和就业支出</w:t>
      </w:r>
      <w:r>
        <w:rPr>
          <w:rFonts w:hint="eastAsia" w:ascii="仿宋_GB2312" w:eastAsia="仿宋_GB2312"/>
          <w:sz w:val="28"/>
          <w:szCs w:val="28"/>
          <w:lang w:val="en-US" w:eastAsia="zh-CN"/>
        </w:rPr>
        <w:t>-</w:t>
      </w:r>
      <w:r>
        <w:rPr>
          <w:rFonts w:hint="eastAsia" w:ascii="仿宋_GB2312" w:eastAsia="仿宋_GB2312"/>
          <w:sz w:val="28"/>
          <w:szCs w:val="28"/>
        </w:rPr>
        <w:t>行政事业单位养老支出</w:t>
      </w:r>
      <w:r>
        <w:rPr>
          <w:rFonts w:hint="eastAsia" w:ascii="仿宋_GB2312" w:eastAsia="仿宋_GB2312"/>
          <w:sz w:val="28"/>
          <w:szCs w:val="28"/>
          <w:lang w:val="en-US" w:eastAsia="zh-CN"/>
        </w:rPr>
        <w:t>-</w:t>
      </w:r>
      <w:r>
        <w:rPr>
          <w:rFonts w:hint="eastAsia" w:ascii="仿宋_GB2312" w:eastAsia="仿宋_GB2312"/>
          <w:sz w:val="28"/>
          <w:szCs w:val="28"/>
        </w:rPr>
        <w:t>机关事业单位职业年金缴费支出：反映机关事业单位实施养老保险制度由单位实际缴纳的职业年金支出（含职业年金补记支出）。</w:t>
      </w:r>
    </w:p>
    <w:p w14:paraId="7605DF9C">
      <w:pPr>
        <w:rPr>
          <w:rFonts w:hint="eastAsia" w:ascii="黑体" w:eastAsia="黑体"/>
          <w:sz w:val="32"/>
          <w:szCs w:val="32"/>
        </w:rPr>
      </w:pPr>
      <w:r>
        <w:rPr>
          <w:rFonts w:hint="eastAsia" w:ascii="黑体" w:eastAsia="黑体"/>
          <w:sz w:val="32"/>
          <w:szCs w:val="32"/>
        </w:rPr>
        <w:br w:type="page"/>
      </w:r>
    </w:p>
    <w:p w14:paraId="2927FE4B">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25EA565">
      <w:pPr>
        <w:ind w:firstLine="560" w:firstLineChars="200"/>
        <w:rPr>
          <w:rFonts w:hint="eastAsia" w:ascii="黑体" w:eastAsia="黑体"/>
          <w:sz w:val="28"/>
          <w:szCs w:val="28"/>
          <w:highlight w:val="yellow"/>
        </w:rPr>
      </w:pPr>
    </w:p>
    <w:p w14:paraId="3C926D80">
      <w:pPr>
        <w:ind w:firstLine="560" w:firstLineChars="200"/>
      </w:pPr>
      <w:r>
        <w:rPr>
          <w:rFonts w:hint="eastAsia" w:ascii="黑体" w:eastAsia="黑体"/>
          <w:sz w:val="28"/>
          <w:szCs w:val="28"/>
          <w:lang w:val="en-US" w:eastAsia="zh-CN"/>
        </w:rPr>
        <w:t>一</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sectPr>
      <w:footerReference r:id="rId5" w:type="default"/>
      <w:footerReference r:id="rId6" w:type="even"/>
      <w:pgSz w:w="16838" w:h="11906" w:orient="landscape"/>
      <w:pgMar w:top="1134" w:right="1134" w:bottom="1134" w:left="1134" w:header="851" w:footer="992" w:gutter="0"/>
      <w:pgNumType w:fmt="decimal"/>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776E5">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59181B">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4959181B">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BBED3">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32A145">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5932A145">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14A7D">
    <w:pPr>
      <w:pStyle w:val="8"/>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242DA6">
                          <w:pPr>
                            <w:pStyle w:val="8"/>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30242DA6">
                    <w:pPr>
                      <w:pStyle w:val="8"/>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6EADD5">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14:paraId="7AFBC82F">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6234CE4"/>
    <w:rsid w:val="06AC061A"/>
    <w:rsid w:val="079004AC"/>
    <w:rsid w:val="08161374"/>
    <w:rsid w:val="0B455505"/>
    <w:rsid w:val="0BA148CA"/>
    <w:rsid w:val="0C1165C4"/>
    <w:rsid w:val="0D6D544B"/>
    <w:rsid w:val="0DD136FE"/>
    <w:rsid w:val="0F8E2C57"/>
    <w:rsid w:val="1059665E"/>
    <w:rsid w:val="10AC13BA"/>
    <w:rsid w:val="11C70038"/>
    <w:rsid w:val="12085502"/>
    <w:rsid w:val="145A6C1B"/>
    <w:rsid w:val="14B73493"/>
    <w:rsid w:val="167A2FF9"/>
    <w:rsid w:val="18581C69"/>
    <w:rsid w:val="1AEC0734"/>
    <w:rsid w:val="1BD110F2"/>
    <w:rsid w:val="1DEF20B0"/>
    <w:rsid w:val="214243FA"/>
    <w:rsid w:val="21AD613C"/>
    <w:rsid w:val="22467189"/>
    <w:rsid w:val="257A14F5"/>
    <w:rsid w:val="259557B7"/>
    <w:rsid w:val="261E2200"/>
    <w:rsid w:val="27196C26"/>
    <w:rsid w:val="29EF086F"/>
    <w:rsid w:val="2EFFE297"/>
    <w:rsid w:val="301437CA"/>
    <w:rsid w:val="33EB6998"/>
    <w:rsid w:val="349D1F0A"/>
    <w:rsid w:val="34DD0473"/>
    <w:rsid w:val="3848736B"/>
    <w:rsid w:val="393E4BB4"/>
    <w:rsid w:val="3ADA4CA6"/>
    <w:rsid w:val="3C684897"/>
    <w:rsid w:val="3D0C050E"/>
    <w:rsid w:val="433E495C"/>
    <w:rsid w:val="43E85105"/>
    <w:rsid w:val="45A17975"/>
    <w:rsid w:val="489F2FD7"/>
    <w:rsid w:val="491D4822"/>
    <w:rsid w:val="4AC27CB3"/>
    <w:rsid w:val="4BF72BEF"/>
    <w:rsid w:val="4FA90297"/>
    <w:rsid w:val="4FC41A43"/>
    <w:rsid w:val="51DB3C59"/>
    <w:rsid w:val="550C0952"/>
    <w:rsid w:val="55762E42"/>
    <w:rsid w:val="57A7B272"/>
    <w:rsid w:val="58470068"/>
    <w:rsid w:val="58747CAC"/>
    <w:rsid w:val="5A1720F9"/>
    <w:rsid w:val="5B9C37C2"/>
    <w:rsid w:val="5BA7C654"/>
    <w:rsid w:val="5C9076B8"/>
    <w:rsid w:val="60A54109"/>
    <w:rsid w:val="61537F9E"/>
    <w:rsid w:val="61D01CDF"/>
    <w:rsid w:val="64C0607C"/>
    <w:rsid w:val="65756C86"/>
    <w:rsid w:val="674D385B"/>
    <w:rsid w:val="676F09E1"/>
    <w:rsid w:val="68AA75BD"/>
    <w:rsid w:val="6EEC5348"/>
    <w:rsid w:val="71793A80"/>
    <w:rsid w:val="7357290B"/>
    <w:rsid w:val="798524E4"/>
    <w:rsid w:val="7A7F1C49"/>
    <w:rsid w:val="7B230080"/>
    <w:rsid w:val="7B5B7AE6"/>
    <w:rsid w:val="7B7B6628"/>
    <w:rsid w:val="7BA7071E"/>
    <w:rsid w:val="7BDF6DA8"/>
    <w:rsid w:val="7C062097"/>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annotation text"/>
    <w:basedOn w:val="1"/>
    <w:qFormat/>
    <w:uiPriority w:val="0"/>
    <w:pPr>
      <w:jc w:val="left"/>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200" b="1" i="0" u="none" strike="noStrike" kern="1200" baseline="0">
                <a:solidFill>
                  <a:schemeClr val="tx1"/>
                </a:solidFill>
                <a:latin typeface="+mn-lt"/>
                <a:ea typeface="+mn-ea"/>
                <a:cs typeface="+mn-cs"/>
              </a:defRPr>
            </a:pPr>
            <a:r>
              <a:rPr sz="1200" b="0"/>
              <a:t>收入决算</a:t>
            </a:r>
            <a:endParaRPr sz="12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spPr>
              <a:solidFill>
                <a:schemeClr val="accent6"/>
              </a:solidFill>
            </c:spPr>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extLst>
                <c:ext xmlns:c15="http://schemas.microsoft.com/office/drawing/2012/chart" uri="{02D57815-91ED-43cb-92C2-25804820EDAC}">
                  <c15:fullRef>
                    <c15:sqref>Sheet1!$A$2:$A$7</c15:sqref>
                  </c15:fullRef>
                </c:ext>
              </c:extLst>
              <c:f>(Sheet1!$A$2,Sheet1!$A$7)</c:f>
              <c:strCache>
                <c:ptCount val="2"/>
                <c:pt idx="0">
                  <c:v>财政拨款收入</c:v>
                </c:pt>
                <c:pt idx="1">
                  <c:v>其他收入</c:v>
                </c:pt>
              </c:strCache>
            </c:strRef>
          </c:cat>
          <c:val>
            <c:numRef>
              <c:extLst>
                <c:ext xmlns:c15="http://schemas.microsoft.com/office/drawing/2012/chart" uri="{02D57815-91ED-43cb-92C2-25804820EDAC}">
                  <c15:fullRef>
                    <c15:sqref>Sheet1!$B$2:$B$7</c15:sqref>
                  </c15:fullRef>
                </c:ext>
              </c:extLst>
              <c:f>(Sheet1!$B$2,Sheet1!$B$7)</c:f>
              <c:numCache>
                <c:formatCode>General</c:formatCode>
                <c:ptCount val="2"/>
                <c:pt idx="0">
                  <c:v>1796.55</c:v>
                </c:pt>
                <c:pt idx="1">
                  <c:v>20.96</c:v>
                </c:pt>
              </c:numCache>
            </c:numRef>
          </c:val>
        </c:ser>
        <c:dLbls>
          <c:showLegendKey val="0"/>
          <c:showVal val="1"/>
          <c:showCatName val="0"/>
          <c:showSerName val="0"/>
          <c:showPercent val="0"/>
          <c:showBubbleSize val="0"/>
          <c:showLeaderLines val="1"/>
        </c:dLbls>
        <c:firstSliceAng val="0"/>
      </c:pieChart>
    </c:plotArea>
    <c:legend>
      <c:legendPos val="r"/>
      <c:legendEntry>
        <c:idx val="0"/>
        <c:txPr>
          <a:bodyPr rot="0" spcFirstLastPara="0" vertOverflow="ellipsis" vert="horz" wrap="square" anchor="ctr" anchorCtr="1"/>
          <a:lstStyle/>
          <a:p>
            <a:pPr>
              <a:defRPr lang="zh-CN" sz="105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1050" b="0" i="0" u="none" strike="noStrike" kern="1200" baseline="0">
                <a:solidFill>
                  <a:schemeClr val="tx1"/>
                </a:solidFill>
                <a:latin typeface="+mn-lt"/>
                <a:ea typeface="+mn-ea"/>
                <a:cs typeface="+mn-cs"/>
              </a:defRPr>
            </a:pPr>
          </a:p>
        </c:txPr>
      </c:legendEntry>
      <c:layout/>
      <c:overlay val="0"/>
      <c:txPr>
        <a:bodyPr rot="0" spcFirstLastPara="0" vertOverflow="ellipsis" vert="horz" wrap="square" anchor="ctr" anchorCtr="1"/>
        <a:lstStyle/>
        <a:p>
          <a:pPr>
            <a:defRPr lang="zh-CN" sz="105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f9b07268-72a7-4538-8c99-ebc3db1753ae}"/>
      </c:ext>
    </c:extLst>
  </c:chart>
  <c:spPr>
    <a:noFill/>
    <a:ln w="12700" cap="flat" cmpd="sng" algn="ctr">
      <a:solidFill>
        <a:schemeClr val="tx1">
          <a:lumMod val="50000"/>
          <a:lumOff val="50000"/>
        </a:schemeClr>
      </a:solidFill>
      <a:prstDash val="solid"/>
      <a:round/>
    </a:ln>
  </c:spPr>
  <c:txPr>
    <a:bodyPr/>
    <a:lstStyle/>
    <a:p>
      <a:pPr>
        <a:defRPr lang="zh-CN" sz="1000"/>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260" b="1" i="0" u="none" strike="noStrike" kern="1200" baseline="0">
                <a:solidFill>
                  <a:schemeClr val="tx1"/>
                </a:solidFill>
                <a:latin typeface="+mn-lt"/>
                <a:ea typeface="+mn-ea"/>
                <a:cs typeface="+mn-cs"/>
              </a:defRPr>
            </a:pPr>
            <a:r>
              <a:rPr sz="1260" b="0"/>
              <a:t>支出决算</a:t>
            </a:r>
            <a:endParaRPr sz="1260" b="0"/>
          </a:p>
        </c:rich>
      </c:tx>
      <c:layout/>
      <c:overlay val="0"/>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105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extLst>
                <c:ext xmlns:c15="http://schemas.microsoft.com/office/drawing/2012/chart" uri="{02D57815-91ED-43cb-92C2-25804820EDAC}">
                  <c15:fullRef>
                    <c15:sqref>Sheet0!$A$2:$A$6</c15:sqref>
                  </c15:fullRef>
                </c:ext>
              </c:extLst>
              <c:f>Sheet0!$A$2:$A$3</c:f>
              <c:strCache>
                <c:ptCount val="2"/>
                <c:pt idx="0">
                  <c:v>基本支出</c:v>
                </c:pt>
                <c:pt idx="1">
                  <c:v>项目支出</c:v>
                </c:pt>
              </c:strCache>
            </c:strRef>
          </c:cat>
          <c:val>
            <c:numRef>
              <c:extLst>
                <c:ext xmlns:c15="http://schemas.microsoft.com/office/drawing/2012/chart" uri="{02D57815-91ED-43cb-92C2-25804820EDAC}">
                  <c15:fullRef>
                    <c15:sqref>Sheet0!$B$2:$B$6</c15:sqref>
                  </c15:fullRef>
                </c:ext>
              </c:extLst>
              <c:f>Sheet0!$B$2:$B$3</c:f>
              <c:numCache>
                <c:formatCode>General</c:formatCode>
                <c:ptCount val="2"/>
                <c:pt idx="0">
                  <c:v>640.54</c:v>
                </c:pt>
                <c:pt idx="1">
                  <c:v>1052.37</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105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105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105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444f4040-a346-4401-b027-d7563d22216e}"/>
      </c:ext>
    </c:extLst>
  </c:chart>
  <c:spPr>
    <a:ln w="9525" cap="flat" cmpd="sng" algn="ctr">
      <a:solidFill>
        <a:srgbClr val="D9D9D9">
          <a:lumMod val="15000"/>
          <a:lumOff val="85000"/>
        </a:srgbClr>
      </a:solidFill>
      <a:prstDash val="solid"/>
      <a:round/>
    </a:ln>
    <a:effectLst/>
  </c:spPr>
  <c:txPr>
    <a:bodyPr/>
    <a:lstStyle/>
    <a:p>
      <a:pPr>
        <a:defRPr lang="zh-CN" sz="1050"/>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3488</Words>
  <Characters>3957</Characters>
  <Lines>44</Lines>
  <Paragraphs>12</Paragraphs>
  <TotalTime>9</TotalTime>
  <ScaleCrop>false</ScaleCrop>
  <LinksUpToDate>false</LinksUpToDate>
  <CharactersWithSpaces>3976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yd</cp:lastModifiedBy>
  <cp:lastPrinted>2025-08-29T03:23:00Z</cp:lastPrinted>
  <dcterms:modified xsi:type="dcterms:W3CDTF">2025-09-04T06:51:15Z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600782427F604F5194AE80AE39C245C6_13</vt:lpwstr>
  </property>
  <property fmtid="{D5CDD505-2E9C-101B-9397-08002B2CF9AE}" pid="4" name="KSOTemplateDocerSaveRecord">
    <vt:lpwstr>eyJoZGlkIjoiNjllMTQ1N2NiYWJhNmE3MmJmNjczYjE3MmE0Mzc5ZDEiLCJ1c2VySWQiOiIxMjgzMzY4NzkzIn0=</vt:lpwstr>
  </property>
</Properties>
</file>