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color w:val="FF0000"/>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44"/>
          <w:szCs w:val="44"/>
        </w:rPr>
      </w:pPr>
      <w:r>
        <w:rPr>
          <w:rFonts w:hint="eastAsia" w:ascii="宋体" w:hAnsi="宋体" w:cs="宋体"/>
          <w:b/>
          <w:bCs/>
          <w:spacing w:val="40"/>
          <w:kern w:val="0"/>
          <w:sz w:val="44"/>
          <w:szCs w:val="44"/>
        </w:rPr>
        <w:t>第一部分 2024年度部门决算报表</w:t>
      </w:r>
    </w:p>
    <w:p>
      <w:pPr>
        <w:tabs>
          <w:tab w:val="center" w:pos="6979"/>
        </w:tabs>
        <w:spacing w:before="156" w:beforeLines="50" w:after="156" w:afterLines="50"/>
        <w:ind w:firstLine="280" w:firstLineChars="100"/>
        <w:jc w:val="left"/>
        <w:rPr>
          <w:rFonts w:ascii="宋体" w:hAnsi="宋体" w:cs="宋体"/>
          <w:b/>
          <w:bCs/>
          <w:spacing w:val="40"/>
          <w:kern w:val="0"/>
          <w:sz w:val="32"/>
          <w:szCs w:val="32"/>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eastAsia="仿宋_GB2312"/>
          <w:color w:val="FF0000"/>
          <w:sz w:val="28"/>
          <w:szCs w:val="28"/>
        </w:rPr>
      </w:pPr>
      <w:r>
        <w:rPr>
          <w:rFonts w:hint="eastAsia" w:ascii="仿宋_GB2312" w:eastAsia="仿宋_GB2312"/>
          <w:sz w:val="28"/>
          <w:szCs w:val="28"/>
        </w:rPr>
        <w:t>北京科技创新研究中心根据中共北京市委机构编制委员会《关于市科委、中关村管委会所属事业单位改革有关事项的批复》（京编委〔2021〕66号），为</w:t>
      </w:r>
      <w:r>
        <w:rPr>
          <w:rFonts w:ascii="仿宋_GB2312" w:eastAsia="仿宋_GB2312"/>
          <w:sz w:val="28"/>
          <w:szCs w:val="28"/>
        </w:rPr>
        <w:t>公益一类事业单位</w:t>
      </w:r>
      <w:r>
        <w:rPr>
          <w:rFonts w:hint="eastAsia" w:ascii="仿宋_GB2312" w:eastAsia="仿宋_GB2312"/>
          <w:sz w:val="28"/>
          <w:szCs w:val="28"/>
        </w:rPr>
        <w:t>。主要职责是：承担国际科技创新中心、中关村国家自主创新示范区的战略、规划、政策研究工作，科技统计分析和指标监测工作，“三城一区”联系服务等工作。</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本单位内设部门分别是综合</w:t>
      </w:r>
      <w:r>
        <w:rPr>
          <w:rFonts w:ascii="仿宋_GB2312" w:eastAsia="仿宋_GB2312"/>
          <w:sz w:val="28"/>
          <w:szCs w:val="28"/>
        </w:rPr>
        <w:t>管理部</w:t>
      </w:r>
      <w:r>
        <w:rPr>
          <w:rFonts w:hint="eastAsia" w:ascii="仿宋_GB2312" w:eastAsia="仿宋_GB2312"/>
          <w:sz w:val="28"/>
          <w:szCs w:val="28"/>
        </w:rPr>
        <w:t>、发展研究</w:t>
      </w:r>
      <w:r>
        <w:rPr>
          <w:rFonts w:ascii="仿宋_GB2312" w:eastAsia="仿宋_GB2312"/>
          <w:sz w:val="28"/>
          <w:szCs w:val="28"/>
        </w:rPr>
        <w:t>部、</w:t>
      </w:r>
      <w:r>
        <w:rPr>
          <w:rFonts w:hint="eastAsia" w:ascii="仿宋_GB2312" w:eastAsia="仿宋_GB2312"/>
          <w:sz w:val="28"/>
          <w:szCs w:val="28"/>
        </w:rPr>
        <w:t>政策研究</w:t>
      </w:r>
      <w:r>
        <w:rPr>
          <w:rFonts w:ascii="仿宋_GB2312" w:eastAsia="仿宋_GB2312"/>
          <w:sz w:val="28"/>
          <w:szCs w:val="28"/>
        </w:rPr>
        <w:t>部、</w:t>
      </w:r>
      <w:r>
        <w:rPr>
          <w:rFonts w:hint="eastAsia" w:ascii="仿宋_GB2312" w:eastAsia="仿宋_GB2312"/>
          <w:sz w:val="28"/>
          <w:szCs w:val="28"/>
        </w:rPr>
        <w:t>决策研究</w:t>
      </w:r>
      <w:r>
        <w:rPr>
          <w:rFonts w:ascii="仿宋_GB2312" w:eastAsia="仿宋_GB2312"/>
          <w:sz w:val="28"/>
          <w:szCs w:val="28"/>
        </w:rPr>
        <w:t>部、</w:t>
      </w:r>
      <w:r>
        <w:rPr>
          <w:rFonts w:hint="eastAsia" w:ascii="仿宋_GB2312" w:eastAsia="仿宋_GB2312"/>
          <w:sz w:val="28"/>
          <w:szCs w:val="28"/>
        </w:rPr>
        <w:t>统计分析</w:t>
      </w:r>
      <w:r>
        <w:rPr>
          <w:rFonts w:ascii="仿宋_GB2312" w:eastAsia="仿宋_GB2312"/>
          <w:sz w:val="28"/>
          <w:szCs w:val="28"/>
        </w:rPr>
        <w:t>部、</w:t>
      </w:r>
      <w:r>
        <w:rPr>
          <w:rFonts w:hint="eastAsia" w:ascii="仿宋_GB2312" w:eastAsia="仿宋_GB2312"/>
          <w:sz w:val="28"/>
          <w:szCs w:val="28"/>
        </w:rPr>
        <w:t>创新评价部和协调联络</w:t>
      </w:r>
      <w:r>
        <w:rPr>
          <w:rFonts w:ascii="仿宋_GB2312" w:eastAsia="仿宋_GB2312"/>
          <w:sz w:val="28"/>
          <w:szCs w:val="28"/>
        </w:rPr>
        <w:t>部</w:t>
      </w:r>
      <w:r>
        <w:rPr>
          <w:rFonts w:hint="eastAsia" w:ascii="仿宋_GB2312" w:eastAsia="仿宋_GB2312"/>
          <w:sz w:val="28"/>
          <w:szCs w:val="28"/>
        </w:rPr>
        <w:t>。</w:t>
      </w:r>
    </w:p>
    <w:p>
      <w:pPr>
        <w:tabs>
          <w:tab w:val="center" w:pos="6979"/>
        </w:tabs>
        <w:spacing w:line="580" w:lineRule="exact"/>
        <w:ind w:firstLine="320" w:firstLineChars="100"/>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2182.14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减少28.44万元，下降1.29%。</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2182.14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100.22万元，增长4.81%。</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2182.14</w:t>
      </w:r>
      <w:r>
        <w:rPr>
          <w:rFonts w:hint="eastAsia" w:ascii="仿宋_GB2312" w:eastAsia="仿宋_GB2312"/>
          <w:sz w:val="28"/>
          <w:szCs w:val="28"/>
        </w:rPr>
        <w:t>万元，占收入合计的100%。其中：一般公共预算财政拨款收入</w:t>
      </w:r>
      <w:r>
        <w:rPr>
          <w:rFonts w:ascii="仿宋_GB2312" w:eastAsia="仿宋_GB2312"/>
          <w:sz w:val="28"/>
          <w:szCs w:val="28"/>
        </w:rPr>
        <w:t>2182.14</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p>
    <w:p>
      <w:pPr>
        <w:tabs>
          <w:tab w:val="center" w:pos="6979"/>
        </w:tabs>
        <w:spacing w:line="580" w:lineRule="exact"/>
        <w:ind w:firstLine="640" w:firstLineChars="200"/>
        <w:rPr>
          <w:b/>
        </w:rPr>
      </w:pPr>
      <w:r>
        <w:rPr>
          <w:rFonts w:ascii="仿宋_GB2312" w:eastAsia="仿宋_GB2312"/>
          <w:color w:val="000000"/>
          <w:sz w:val="32"/>
        </w:rPr>
        <w:tab/>
      </w:r>
      <w:r>
        <w:rPr>
          <w:rFonts w:hint="eastAsia" w:ascii="仿宋_GB2312" w:eastAsia="仿宋_GB2312"/>
          <w:b/>
          <w:color w:val="000000"/>
          <w:sz w:val="32"/>
        </w:rPr>
        <w:t>图1：收入</w:t>
      </w:r>
      <w:r>
        <w:rPr>
          <w:rFonts w:hint="eastAsia" w:ascii="仿宋_GB2312" w:eastAsia="仿宋_GB2312"/>
          <w:b/>
          <w:color w:val="000000"/>
          <w:sz w:val="32"/>
          <w:lang w:eastAsia="zh-CN"/>
        </w:rPr>
        <w:t>决</w:t>
      </w:r>
      <w:bookmarkStart w:id="6" w:name="_GoBack"/>
      <w:bookmarkEnd w:id="6"/>
      <w:r>
        <w:rPr>
          <w:rFonts w:hint="eastAsia" w:ascii="仿宋_GB2312" w:eastAsia="仿宋_GB2312"/>
          <w:b/>
          <w:color w:val="000000"/>
          <w:sz w:val="32"/>
        </w:rPr>
        <w:t>算</w:t>
      </w:r>
    </w:p>
    <w:p>
      <w:pPr>
        <w:pStyle w:val="3"/>
        <w:ind w:firstLine="420"/>
        <w:jc w:val="center"/>
      </w:pPr>
    </w:p>
    <w:p>
      <w:pPr>
        <w:tabs>
          <w:tab w:val="center" w:pos="6979"/>
        </w:tabs>
        <w:spacing w:line="580" w:lineRule="exact"/>
        <w:ind w:firstLine="570"/>
        <w:rPr>
          <w:rFonts w:ascii="仿宋_GB2312" w:eastAsia="仿宋_GB2312"/>
          <w:sz w:val="28"/>
          <w:szCs w:val="28"/>
        </w:rPr>
      </w:pPr>
      <w:r>
        <w:drawing>
          <wp:anchor distT="0" distB="0" distL="114300" distR="114300" simplePos="0" relativeHeight="251659264" behindDoc="0" locked="0" layoutInCell="1" allowOverlap="1">
            <wp:simplePos x="0" y="0"/>
            <wp:positionH relativeFrom="column">
              <wp:posOffset>2702560</wp:posOffset>
            </wp:positionH>
            <wp:positionV relativeFrom="paragraph">
              <wp:posOffset>27940</wp:posOffset>
            </wp:positionV>
            <wp:extent cx="4036695" cy="2216150"/>
            <wp:effectExtent l="0" t="0" r="1905" b="12700"/>
            <wp:wrapSquare wrapText="bothSides"/>
            <wp:docPr id="4" name="图表 4"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1852.7</w:t>
      </w:r>
      <w:r>
        <w:rPr>
          <w:rFonts w:hint="eastAsia" w:ascii="仿宋_GB2312" w:eastAsia="仿宋_GB2312"/>
          <w:sz w:val="28"/>
          <w:szCs w:val="28"/>
        </w:rPr>
        <w:t>0万元，</w:t>
      </w:r>
      <w:r>
        <w:rPr>
          <w:rFonts w:ascii="仿宋_GB2312" w:eastAsia="仿宋_GB2312"/>
          <w:sz w:val="28"/>
          <w:szCs w:val="28"/>
        </w:rPr>
        <w:t>比上年</w:t>
      </w:r>
      <w:r>
        <w:rPr>
          <w:rFonts w:hint="eastAsia" w:ascii="仿宋_GB2312" w:eastAsia="仿宋_GB2312"/>
          <w:sz w:val="28"/>
          <w:szCs w:val="28"/>
        </w:rPr>
        <w:t>减少149</w:t>
      </w:r>
      <w:bookmarkStart w:id="0" w:name="OLE_LINK4"/>
      <w:bookmarkStart w:id="1" w:name="OLE_LINK3"/>
      <w:r>
        <w:rPr>
          <w:rFonts w:hint="eastAsia" w:ascii="仿宋_GB2312" w:eastAsia="仿宋_GB2312"/>
          <w:sz w:val="28"/>
          <w:szCs w:val="28"/>
        </w:rPr>
        <w:t>.</w:t>
      </w:r>
      <w:bookmarkEnd w:id="0"/>
      <w:bookmarkEnd w:id="1"/>
      <w:r>
        <w:rPr>
          <w:rFonts w:hint="eastAsia" w:ascii="仿宋_GB2312" w:eastAsia="仿宋_GB2312"/>
          <w:sz w:val="28"/>
          <w:szCs w:val="28"/>
        </w:rPr>
        <w:t>74万元，下降7.48%，其中：基本支出</w:t>
      </w:r>
      <w:r>
        <w:rPr>
          <w:rFonts w:ascii="仿宋_GB2312" w:eastAsia="仿宋_GB2312"/>
          <w:sz w:val="28"/>
          <w:szCs w:val="28"/>
        </w:rPr>
        <w:t>1664.36</w:t>
      </w:r>
      <w:r>
        <w:rPr>
          <w:rFonts w:hint="eastAsia" w:ascii="仿宋_GB2312" w:eastAsia="仿宋_GB2312"/>
          <w:sz w:val="28"/>
          <w:szCs w:val="28"/>
        </w:rPr>
        <w:t>万元，占支出合计的89.83%；项目支出</w:t>
      </w:r>
      <w:r>
        <w:rPr>
          <w:rFonts w:ascii="仿宋_GB2312" w:eastAsia="仿宋_GB2312"/>
          <w:sz w:val="28"/>
          <w:szCs w:val="28"/>
        </w:rPr>
        <w:t>188.34</w:t>
      </w:r>
      <w:r>
        <w:rPr>
          <w:rFonts w:hint="eastAsia" w:ascii="仿宋_GB2312" w:eastAsia="仿宋_GB2312"/>
          <w:sz w:val="28"/>
          <w:szCs w:val="28"/>
        </w:rPr>
        <w:t>万元，占支出合计的</w:t>
      </w:r>
      <w:bookmarkStart w:id="2" w:name="OLE_LINK5"/>
      <w:bookmarkStart w:id="3" w:name="OLE_LINK6"/>
      <w:r>
        <w:rPr>
          <w:rFonts w:hint="eastAsia" w:ascii="仿宋_GB2312" w:eastAsia="仿宋_GB2312"/>
          <w:sz w:val="28"/>
          <w:szCs w:val="28"/>
        </w:rPr>
        <w:t>10.17</w:t>
      </w:r>
      <w:bookmarkEnd w:id="2"/>
      <w:bookmarkEnd w:id="3"/>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tabs>
          <w:tab w:val="center" w:pos="6979"/>
        </w:tabs>
        <w:spacing w:line="580" w:lineRule="exact"/>
        <w:jc w:val="center"/>
        <w:rPr>
          <w:rFonts w:ascii="仿宋_GB2312" w:eastAsia="仿宋_GB2312"/>
          <w:sz w:val="28"/>
          <w:szCs w:val="28"/>
        </w:rPr>
      </w:pPr>
    </w:p>
    <w:p>
      <w:pPr>
        <w:tabs>
          <w:tab w:val="center" w:pos="6979"/>
        </w:tabs>
        <w:spacing w:line="580" w:lineRule="exact"/>
        <w:jc w:val="center"/>
        <w:rPr>
          <w:rFonts w:ascii="仿宋_GB2312" w:eastAsia="仿宋_GB2312"/>
          <w:b/>
          <w:color w:val="000000"/>
          <w:sz w:val="32"/>
        </w:rPr>
      </w:pPr>
      <w:r>
        <w:rPr>
          <w:rFonts w:hint="eastAsia" w:ascii="仿宋_GB2312" w:eastAsia="仿宋_GB2312"/>
          <w:b/>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0" t="0" r="0" b="0"/>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2182.14</w:t>
      </w:r>
      <w:r>
        <w:rPr>
          <w:rFonts w:hint="eastAsia" w:ascii="仿宋_GB2312" w:eastAsia="仿宋_GB2312"/>
          <w:sz w:val="28"/>
          <w:szCs w:val="28"/>
        </w:rPr>
        <w:t>万元，比上年减少28.44万元，下降1.29%。</w:t>
      </w:r>
      <w:r>
        <w:rPr>
          <w:rFonts w:hint="eastAsia" w:ascii="仿宋_GB2312" w:eastAsia="仿宋_GB2312"/>
          <w:color w:val="000000" w:themeColor="text1"/>
          <w:sz w:val="28"/>
          <w:szCs w:val="28"/>
          <w14:textFill>
            <w14:solidFill>
              <w14:schemeClr w14:val="tx1"/>
            </w14:solidFill>
          </w14:textFill>
        </w:rPr>
        <w:t>与上年基本持平。</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1852.7</w:t>
      </w:r>
      <w:r>
        <w:rPr>
          <w:rFonts w:hint="eastAsia" w:ascii="仿宋_GB2312" w:eastAsia="仿宋_GB2312"/>
          <w:sz w:val="28"/>
          <w:szCs w:val="28"/>
        </w:rPr>
        <w:t>0万元，主要用于以下方面（按大类）：教育支出3.78万元，占本年财政拨款支出0.20%；科学技术支出1570.34万元，占本年财政拨款支出84.76%；社会保障和就业支出180.61万元，占本年财政拨款支出9.75%；卫生健康支出97.97万元，占本年财政拨款支出5.29%。</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、“教育支出”2024年度年初预算4.30万元，2024年度决算3.78万元，完成年初预算的87.91%。其中：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“进修与培训”2024年度年初预算4.30万元，2024年度决算3.78万元，完成年初预算的87.91%。主要原因：落实政府“过紧日子”要求，厉行勤俭节约，严格控制相关经费支出。</w:t>
      </w:r>
    </w:p>
    <w:p>
      <w:pPr>
        <w:autoSpaceDE w:val="0"/>
        <w:autoSpaceDN w:val="0"/>
        <w:adjustRightInd w:val="0"/>
        <w:spacing w:line="580" w:lineRule="exact"/>
        <w:ind w:firstLine="560" w:firstLineChars="200"/>
        <w:jc w:val="left"/>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、“科学技术支出”2024年度年初预算1855.95万元，2024年度决算1570.34万元，完成年初预算的84.61%。其中：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“技术研究与开发”2024年度年初预算1685.80万元，2024年度决算1428.84万元，完成年初预算的84.76%</w:t>
      </w:r>
      <w:bookmarkStart w:id="4" w:name="OLE_LINK2"/>
      <w:bookmarkStart w:id="5" w:name="OLE_LINK1"/>
      <w:r>
        <w:rPr>
          <w:rFonts w:hint="eastAsia" w:ascii="仿宋_GB2312" w:eastAsia="仿宋_GB2312"/>
          <w:sz w:val="28"/>
          <w:szCs w:val="28"/>
        </w:rPr>
        <w:t>。主要原因：</w:t>
      </w:r>
      <w:bookmarkEnd w:id="4"/>
      <w:bookmarkEnd w:id="5"/>
      <w:r>
        <w:rPr>
          <w:rFonts w:hint="eastAsia" w:ascii="仿宋_GB2312" w:eastAsia="仿宋_GB2312"/>
          <w:sz w:val="28"/>
          <w:szCs w:val="28"/>
        </w:rPr>
        <w:t>落实政府“过紧日子”要求，厉行勤俭节约，根据人员实际变化情况，压减相关经费支出。</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“科技条件与服务”2024年度年初预算170.15万元，2024年度决算141.50万元，完成年初预算的83.16%。主要原因：提高资金使用效益，进一步优化项目支出内容，压减科技决策</w:t>
      </w:r>
      <w:r>
        <w:rPr>
          <w:rFonts w:ascii="仿宋_GB2312" w:eastAsia="仿宋_GB2312"/>
          <w:sz w:val="28"/>
          <w:szCs w:val="28"/>
        </w:rPr>
        <w:t>研究</w:t>
      </w:r>
      <w:r>
        <w:rPr>
          <w:rFonts w:hint="eastAsia" w:ascii="仿宋_GB2312" w:eastAsia="仿宋_GB2312"/>
          <w:sz w:val="28"/>
          <w:szCs w:val="28"/>
        </w:rPr>
        <w:t>等经费支出。</w:t>
      </w:r>
    </w:p>
    <w:p>
      <w:pPr>
        <w:spacing w:line="580" w:lineRule="exact"/>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、“社会保障和就业支出”2024年度年初预算198.08万元，2024年度决算180.61万元，完成年初预算的91.18%。其中：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“行政事业单位养老支出”2024年度年初预算198.08万元，2024年度决算180.61万元，完成年初预算的91.18%。主要原因：落实政府“过紧日子”要求，厉行勤俭节约，根据人员实际变化情况，压减相关经费支出。</w:t>
      </w:r>
    </w:p>
    <w:p>
      <w:pPr>
        <w:spacing w:line="580" w:lineRule="exact"/>
        <w:ind w:firstLine="560" w:firstLineChars="2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、“卫生健康支出”2024年度年初预算123.81万元，2024年度决算97.97万元，完成年初预算的79.13%。其中：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“行政事业单位医疗”2024年度年初预算123.81万元，2024年度决算97.97万元，完成年初预算的79.13%。主要原因：落实政府“过紧日子”要求，厉行勤俭节约，根据人员实际变化情况，压减相关经费支出。</w:t>
      </w:r>
    </w:p>
    <w:p>
      <w:pPr>
        <w:spacing w:line="580" w:lineRule="exact"/>
        <w:ind w:firstLine="560" w:firstLineChars="200"/>
        <w:rPr>
          <w:rFonts w:ascii="黑体" w:eastAsia="黑体"/>
          <w:b/>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本单位无此项经费。</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本单位无此项经费。</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1664.36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jc w:val="left"/>
        <w:rPr>
          <w:rFonts w:ascii="宋体" w:hAnsi="宋体" w:cs="宋体"/>
          <w:b/>
          <w:bCs/>
          <w:spacing w:val="40"/>
          <w:kern w:val="0"/>
          <w:sz w:val="32"/>
          <w:szCs w:val="32"/>
        </w:rPr>
      </w:pPr>
      <w:r>
        <w:rPr>
          <w:rFonts w:hint="eastAsia" w:ascii="宋体" w:hAnsi="宋体" w:cs="宋体"/>
          <w:b/>
          <w:bCs/>
          <w:spacing w:val="40"/>
          <w:kern w:val="0"/>
          <w:sz w:val="32"/>
          <w:szCs w:val="32"/>
        </w:rPr>
        <w:br w:type="page"/>
      </w:r>
    </w:p>
    <w:p>
      <w:pPr>
        <w:tabs>
          <w:tab w:val="center" w:pos="6979"/>
        </w:tabs>
        <w:jc w:val="center"/>
        <w:rPr>
          <w:rFonts w:ascii="宋体" w:hAnsi="宋体" w:cs="宋体"/>
          <w:b/>
          <w:color w:val="FF0000"/>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0.29</w:t>
      </w:r>
      <w:r>
        <w:rPr>
          <w:rFonts w:hint="eastAsia" w:ascii="仿宋_GB2312" w:eastAsia="仿宋_GB2312"/>
          <w:sz w:val="28"/>
          <w:szCs w:val="28"/>
        </w:rPr>
        <w:t>万元减少</w:t>
      </w:r>
      <w:r>
        <w:rPr>
          <w:rFonts w:ascii="仿宋_GB2312" w:eastAsia="仿宋_GB2312"/>
          <w:sz w:val="28"/>
          <w:szCs w:val="28"/>
        </w:rPr>
        <w:t>0.29</w:t>
      </w:r>
      <w:r>
        <w:rPr>
          <w:rFonts w:hint="eastAsia" w:ascii="仿宋_GB2312" w:eastAsia="仿宋_GB2312"/>
          <w:sz w:val="28"/>
          <w:szCs w:val="28"/>
        </w:rPr>
        <w:t>万元。其中：</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1.因公出国（境）费用。本单位无此项支出。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0.29</w:t>
      </w:r>
      <w:r>
        <w:rPr>
          <w:rFonts w:hint="eastAsia" w:ascii="仿宋_GB2312" w:eastAsia="仿宋_GB2312"/>
          <w:sz w:val="28"/>
          <w:szCs w:val="28"/>
        </w:rPr>
        <w:t>万元减少</w:t>
      </w:r>
      <w:r>
        <w:rPr>
          <w:rFonts w:ascii="仿宋_GB2312" w:eastAsia="仿宋_GB2312"/>
          <w:sz w:val="28"/>
          <w:szCs w:val="28"/>
        </w:rPr>
        <w:t>0.29</w:t>
      </w:r>
      <w:r>
        <w:rPr>
          <w:rFonts w:hint="eastAsia" w:ascii="仿宋_GB2312" w:eastAsia="仿宋_GB2312"/>
          <w:sz w:val="28"/>
          <w:szCs w:val="28"/>
        </w:rPr>
        <w:t>万元。主要原因：本单位未发生</w:t>
      </w:r>
      <w:r>
        <w:rPr>
          <w:rFonts w:ascii="仿宋_GB2312" w:eastAsia="仿宋_GB2312"/>
          <w:sz w:val="28"/>
          <w:szCs w:val="28"/>
        </w:rPr>
        <w:t>公务接待费用</w:t>
      </w:r>
      <w:r>
        <w:rPr>
          <w:rFonts w:hint="eastAsia" w:ascii="仿宋_GB2312" w:eastAsia="仿宋_GB2312"/>
          <w:sz w:val="28"/>
          <w:szCs w:val="28"/>
        </w:rPr>
        <w:t>。</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3.公务用车购置及运行维护费。本单位无此项支出。</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59.06</w:t>
      </w:r>
      <w:r>
        <w:rPr>
          <w:rFonts w:hint="eastAsia" w:ascii="仿宋_GB2312" w:eastAsia="仿宋_GB2312"/>
          <w:sz w:val="28"/>
          <w:szCs w:val="28"/>
        </w:rPr>
        <w:t>万元，其中：政府采购货物支出</w:t>
      </w:r>
      <w:r>
        <w:rPr>
          <w:rFonts w:ascii="仿宋_GB2312" w:eastAsia="仿宋_GB2312"/>
          <w:sz w:val="28"/>
          <w:szCs w:val="28"/>
        </w:rPr>
        <w:t>3.78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55.28</w:t>
      </w:r>
      <w:r>
        <w:rPr>
          <w:rFonts w:hint="eastAsia" w:ascii="仿宋_GB2312" w:eastAsia="仿宋_GB2312"/>
          <w:sz w:val="28"/>
          <w:szCs w:val="28"/>
        </w:rPr>
        <w:t>万元。授予中小企业合同金额</w:t>
      </w:r>
      <w:r>
        <w:rPr>
          <w:rFonts w:ascii="仿宋_GB2312" w:eastAsia="仿宋_GB2312"/>
          <w:sz w:val="28"/>
          <w:szCs w:val="28"/>
        </w:rPr>
        <w:t>59.06</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9.06</w:t>
      </w:r>
      <w:r>
        <w:rPr>
          <w:rFonts w:hint="eastAsia" w:ascii="仿宋_GB2312" w:eastAsia="仿宋_GB2312"/>
          <w:sz w:val="28"/>
          <w:szCs w:val="28"/>
        </w:rPr>
        <w:t>万元，占政府采购支出总额的</w:t>
      </w:r>
      <w:r>
        <w:rPr>
          <w:rFonts w:ascii="仿宋_GB2312" w:eastAsia="仿宋_GB2312"/>
          <w:sz w:val="28"/>
          <w:szCs w:val="28"/>
        </w:rPr>
        <w:t>15.34</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截至12月31日，北京科技创新研究中心共有车辆0台；单位价值100万元（含）以上的设备0台（套）。</w:t>
      </w:r>
    </w:p>
    <w:p>
      <w:pPr>
        <w:ind w:firstLine="560" w:firstLineChars="200"/>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本单位不属于政府购买服务购买主体。</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5" w:firstLineChars="202"/>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5" w:firstLineChars="202"/>
        <w:rPr>
          <w:rFonts w:ascii="仿宋_GB2312" w:eastAsia="仿宋_GB2312"/>
          <w:sz w:val="28"/>
          <w:szCs w:val="28"/>
        </w:rPr>
      </w:pPr>
      <w:r>
        <w:rPr>
          <w:rFonts w:ascii="仿宋_GB2312" w:eastAsia="仿宋_GB2312"/>
          <w:sz w:val="28"/>
          <w:szCs w:val="28"/>
        </w:rPr>
        <w:t>7</w:t>
      </w:r>
      <w:r>
        <w:rPr>
          <w:rFonts w:hint="eastAsia" w:ascii="仿宋_GB2312" w:eastAsia="仿宋_GB2312"/>
          <w:sz w:val="28"/>
          <w:szCs w:val="28"/>
        </w:rPr>
        <w:t>.支出功能分类项级科目名词解释</w:t>
      </w:r>
    </w:p>
    <w:p>
      <w:pPr>
        <w:spacing w:line="560" w:lineRule="atLeast"/>
        <w:ind w:firstLine="601"/>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1</w:t>
      </w:r>
      <w:r>
        <w:rPr>
          <w:rFonts w:hint="eastAsia" w:ascii="仿宋_GB2312" w:eastAsia="仿宋_GB2312"/>
          <w:sz w:val="28"/>
          <w:szCs w:val="28"/>
        </w:rPr>
        <w:t>）教育支出-进修与培训-培训支出：反映各部门安排的用于培训的支出。</w:t>
      </w:r>
    </w:p>
    <w:p>
      <w:pPr>
        <w:spacing w:line="560" w:lineRule="atLeast"/>
        <w:ind w:firstLine="601"/>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2</w:t>
      </w:r>
      <w:r>
        <w:rPr>
          <w:rFonts w:hint="eastAsia" w:ascii="仿宋_GB2312" w:eastAsia="仿宋_GB2312"/>
          <w:sz w:val="28"/>
          <w:szCs w:val="28"/>
        </w:rPr>
        <w:t>）科学技术支出-技术研究与开发-机构运行：反映各类技术研究与开发机构的基本支出。</w:t>
      </w:r>
    </w:p>
    <w:p>
      <w:pPr>
        <w:spacing w:line="560" w:lineRule="atLeast"/>
        <w:ind w:firstLine="601"/>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3</w:t>
      </w:r>
      <w:r>
        <w:rPr>
          <w:rFonts w:hint="eastAsia" w:ascii="仿宋_GB2312" w:eastAsia="仿宋_GB2312"/>
          <w:sz w:val="28"/>
          <w:szCs w:val="28"/>
        </w:rPr>
        <w:t>）科学技术支出-科技条件与服务-技术创新服务体系：反映国家为公益性行业、企业等提供信息、技术，中介等全方位服务和支持，建立健全技术服务体系等方面的支出。</w:t>
      </w:r>
    </w:p>
    <w:p>
      <w:pPr>
        <w:spacing w:line="560" w:lineRule="atLeast"/>
        <w:ind w:firstLine="601"/>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）社会保障和就业支出-行政事业单位养老支出-事业单位离退休：反映事业单位开支的离退休经费。</w:t>
      </w:r>
    </w:p>
    <w:p>
      <w:pPr>
        <w:spacing w:line="560" w:lineRule="atLeast"/>
        <w:ind w:firstLine="601"/>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5</w:t>
      </w:r>
      <w:r>
        <w:rPr>
          <w:rFonts w:hint="eastAsia" w:ascii="仿宋_GB2312" w:eastAsia="仿宋_GB2312"/>
          <w:sz w:val="28"/>
          <w:szCs w:val="28"/>
        </w:rPr>
        <w:t>）社会保障和就业支出-行政事业单位养老支出-机关事业单位基本养老保险缴费支出：反映机关事业单位实施养老保险制度由单位缴纳的基本养老保险支出。</w:t>
      </w:r>
    </w:p>
    <w:p>
      <w:pPr>
        <w:spacing w:line="560" w:lineRule="atLeast"/>
        <w:ind w:firstLine="601"/>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6</w:t>
      </w:r>
      <w:r>
        <w:rPr>
          <w:rFonts w:hint="eastAsia" w:ascii="仿宋_GB2312" w:eastAsia="仿宋_GB2312"/>
          <w:sz w:val="28"/>
          <w:szCs w:val="28"/>
        </w:rPr>
        <w:t>）社会保障和就业支出-行政事业单位养老支出-机关事业单位职业年金缴费支出：反映机关事业单位实施养老保险制度由单位实际缴纳的职业年金支出（含职业年金补记支出）。</w:t>
      </w:r>
    </w:p>
    <w:p>
      <w:pPr>
        <w:spacing w:line="560" w:lineRule="atLeast"/>
        <w:ind w:firstLine="601"/>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7</w:t>
      </w:r>
      <w:r>
        <w:rPr>
          <w:rFonts w:hint="eastAsia" w:ascii="仿宋_GB2312" w:eastAsia="仿宋_GB2312"/>
          <w:sz w:val="28"/>
          <w:szCs w:val="28"/>
        </w:rPr>
        <w:t>）卫生健康支出-行政事业单位医疗-事业单位医疗：反映财政部门安排的事业单位基本医疗保险缴费经费，未参加医疗保险的事业单位的公费医疗经费、按国家规定享受离休人员待遇的医疗经费</w:t>
      </w:r>
    </w:p>
    <w:p>
      <w:pPr>
        <w:tabs>
          <w:tab w:val="center" w:pos="6979"/>
        </w:tabs>
        <w:jc w:val="center"/>
        <w:rPr>
          <w:rFonts w:ascii="黑体" w:eastAsia="黑体"/>
          <w:sz w:val="32"/>
          <w:szCs w:val="32"/>
        </w:rPr>
      </w:pPr>
    </w:p>
    <w:p>
      <w:pPr>
        <w:tabs>
          <w:tab w:val="center" w:pos="6979"/>
        </w:tabs>
        <w:jc w:val="center"/>
        <w:rPr>
          <w:rFonts w:ascii="黑体" w:eastAsia="黑体"/>
          <w:sz w:val="32"/>
          <w:szCs w:val="32"/>
        </w:rPr>
      </w:pPr>
    </w:p>
    <w:p>
      <w:pPr>
        <w:tabs>
          <w:tab w:val="center" w:pos="6979"/>
        </w:tabs>
        <w:jc w:val="center"/>
        <w:rPr>
          <w:rFonts w:ascii="黑体" w:eastAsia="黑体"/>
          <w:sz w:val="32"/>
          <w:szCs w:val="32"/>
        </w:rPr>
      </w:pPr>
    </w:p>
    <w:p>
      <w:pPr>
        <w:tabs>
          <w:tab w:val="center" w:pos="6979"/>
        </w:tabs>
        <w:jc w:val="center"/>
        <w:rPr>
          <w:rFonts w:ascii="黑体" w:eastAsia="黑体"/>
          <w:sz w:val="32"/>
          <w:szCs w:val="32"/>
        </w:rPr>
      </w:pPr>
    </w:p>
    <w:p/>
    <w:p>
      <w:pPr>
        <w:tabs>
          <w:tab w:val="center" w:pos="6979"/>
        </w:tabs>
        <w:jc w:val="center"/>
        <w:rPr>
          <w:rFonts w:ascii="宋体" w:hAnsi="宋体" w:cs="宋体"/>
          <w:b/>
          <w:color w:val="FF0000"/>
          <w:spacing w:val="40"/>
          <w:kern w:val="0"/>
          <w:sz w:val="32"/>
          <w:szCs w:val="32"/>
        </w:rPr>
      </w:pPr>
      <w:r>
        <w:rPr>
          <w:rFonts w:hint="eastAsia" w:ascii="黑体" w:eastAsia="黑体"/>
          <w:sz w:val="32"/>
          <w:szCs w:val="32"/>
        </w:rPr>
        <w:t>第四部分  2024年度部门绩效评价情况</w:t>
      </w:r>
    </w:p>
    <w:p>
      <w:pPr>
        <w:ind w:firstLine="640" w:firstLineChars="200"/>
        <w:jc w:val="center"/>
        <w:rPr>
          <w:rFonts w:ascii="黑体" w:eastAsia="黑体"/>
          <w:sz w:val="32"/>
          <w:szCs w:val="32"/>
        </w:rPr>
      </w:pP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0A97"/>
    <w:rsid w:val="00002532"/>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54C4"/>
    <w:rsid w:val="00075C4A"/>
    <w:rsid w:val="00077A9E"/>
    <w:rsid w:val="00077F4A"/>
    <w:rsid w:val="00077FE5"/>
    <w:rsid w:val="00080447"/>
    <w:rsid w:val="00085663"/>
    <w:rsid w:val="00095948"/>
    <w:rsid w:val="00095C26"/>
    <w:rsid w:val="00096504"/>
    <w:rsid w:val="00096B86"/>
    <w:rsid w:val="000A1770"/>
    <w:rsid w:val="000A283C"/>
    <w:rsid w:val="000B15B7"/>
    <w:rsid w:val="000B5DC9"/>
    <w:rsid w:val="000B70F1"/>
    <w:rsid w:val="000C4611"/>
    <w:rsid w:val="000D1B61"/>
    <w:rsid w:val="000D33EE"/>
    <w:rsid w:val="000D6854"/>
    <w:rsid w:val="000E0B26"/>
    <w:rsid w:val="000E3291"/>
    <w:rsid w:val="000F08FE"/>
    <w:rsid w:val="000F208B"/>
    <w:rsid w:val="000F2A48"/>
    <w:rsid w:val="000F49BE"/>
    <w:rsid w:val="00100246"/>
    <w:rsid w:val="00103465"/>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76882"/>
    <w:rsid w:val="00180DAD"/>
    <w:rsid w:val="0018370E"/>
    <w:rsid w:val="001852E1"/>
    <w:rsid w:val="00191568"/>
    <w:rsid w:val="001A3A60"/>
    <w:rsid w:val="001A4277"/>
    <w:rsid w:val="001A7D2E"/>
    <w:rsid w:val="001B1DF9"/>
    <w:rsid w:val="001B1E93"/>
    <w:rsid w:val="001B375E"/>
    <w:rsid w:val="001B4A46"/>
    <w:rsid w:val="001B5E87"/>
    <w:rsid w:val="001B5E91"/>
    <w:rsid w:val="001B69BF"/>
    <w:rsid w:val="001B7988"/>
    <w:rsid w:val="001C538A"/>
    <w:rsid w:val="001C7EF2"/>
    <w:rsid w:val="001D78D9"/>
    <w:rsid w:val="001E0556"/>
    <w:rsid w:val="001E2355"/>
    <w:rsid w:val="001E2379"/>
    <w:rsid w:val="001E29A9"/>
    <w:rsid w:val="001F5857"/>
    <w:rsid w:val="002005D2"/>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209E"/>
    <w:rsid w:val="00253EC4"/>
    <w:rsid w:val="00254515"/>
    <w:rsid w:val="0026479D"/>
    <w:rsid w:val="002660D1"/>
    <w:rsid w:val="002673C4"/>
    <w:rsid w:val="00270F08"/>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490B"/>
    <w:rsid w:val="002B5464"/>
    <w:rsid w:val="002C0443"/>
    <w:rsid w:val="002C12FB"/>
    <w:rsid w:val="002C24BC"/>
    <w:rsid w:val="002C2AA2"/>
    <w:rsid w:val="002D03C6"/>
    <w:rsid w:val="002D0FDF"/>
    <w:rsid w:val="002D3955"/>
    <w:rsid w:val="002D511B"/>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2E72"/>
    <w:rsid w:val="00325687"/>
    <w:rsid w:val="003259A1"/>
    <w:rsid w:val="00326D9F"/>
    <w:rsid w:val="00332C14"/>
    <w:rsid w:val="00335079"/>
    <w:rsid w:val="003352CE"/>
    <w:rsid w:val="00341D8E"/>
    <w:rsid w:val="003502B9"/>
    <w:rsid w:val="00351B8F"/>
    <w:rsid w:val="00351E20"/>
    <w:rsid w:val="00353226"/>
    <w:rsid w:val="00353717"/>
    <w:rsid w:val="00354630"/>
    <w:rsid w:val="0036063E"/>
    <w:rsid w:val="00365A24"/>
    <w:rsid w:val="003712DB"/>
    <w:rsid w:val="00373DDC"/>
    <w:rsid w:val="00382A86"/>
    <w:rsid w:val="003839CF"/>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6D17"/>
    <w:rsid w:val="003D7274"/>
    <w:rsid w:val="003E4D82"/>
    <w:rsid w:val="003E5BC1"/>
    <w:rsid w:val="003F0D1B"/>
    <w:rsid w:val="003F1597"/>
    <w:rsid w:val="003F1DD6"/>
    <w:rsid w:val="00401087"/>
    <w:rsid w:val="00402E26"/>
    <w:rsid w:val="00405701"/>
    <w:rsid w:val="004106AD"/>
    <w:rsid w:val="004110BC"/>
    <w:rsid w:val="0041271F"/>
    <w:rsid w:val="0041688E"/>
    <w:rsid w:val="004170EF"/>
    <w:rsid w:val="004205D7"/>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3BC0"/>
    <w:rsid w:val="00484A93"/>
    <w:rsid w:val="0048570D"/>
    <w:rsid w:val="00485E12"/>
    <w:rsid w:val="004865DA"/>
    <w:rsid w:val="0048779C"/>
    <w:rsid w:val="00487AB7"/>
    <w:rsid w:val="00487ED0"/>
    <w:rsid w:val="00487F3E"/>
    <w:rsid w:val="00491D09"/>
    <w:rsid w:val="0049682C"/>
    <w:rsid w:val="004A168E"/>
    <w:rsid w:val="004A4EC7"/>
    <w:rsid w:val="004B0003"/>
    <w:rsid w:val="004C020A"/>
    <w:rsid w:val="004C03A3"/>
    <w:rsid w:val="004C3F13"/>
    <w:rsid w:val="004C44B8"/>
    <w:rsid w:val="004C7629"/>
    <w:rsid w:val="004D0D5D"/>
    <w:rsid w:val="004E27DD"/>
    <w:rsid w:val="004E3350"/>
    <w:rsid w:val="004E5292"/>
    <w:rsid w:val="004F2C5B"/>
    <w:rsid w:val="004F641B"/>
    <w:rsid w:val="004F71F3"/>
    <w:rsid w:val="005052FA"/>
    <w:rsid w:val="005069E1"/>
    <w:rsid w:val="00507793"/>
    <w:rsid w:val="00507E59"/>
    <w:rsid w:val="005122B5"/>
    <w:rsid w:val="0052381C"/>
    <w:rsid w:val="00530FEC"/>
    <w:rsid w:val="005346B3"/>
    <w:rsid w:val="005372CE"/>
    <w:rsid w:val="0054051C"/>
    <w:rsid w:val="0054486F"/>
    <w:rsid w:val="00546A84"/>
    <w:rsid w:val="00547BE2"/>
    <w:rsid w:val="0055324E"/>
    <w:rsid w:val="0055353D"/>
    <w:rsid w:val="0056187C"/>
    <w:rsid w:val="0056732D"/>
    <w:rsid w:val="00576B03"/>
    <w:rsid w:val="00581E1A"/>
    <w:rsid w:val="00591655"/>
    <w:rsid w:val="00591BEC"/>
    <w:rsid w:val="00592315"/>
    <w:rsid w:val="005940EA"/>
    <w:rsid w:val="00594448"/>
    <w:rsid w:val="005973DA"/>
    <w:rsid w:val="005A1D6F"/>
    <w:rsid w:val="005A4D82"/>
    <w:rsid w:val="005A52A6"/>
    <w:rsid w:val="005B0DEC"/>
    <w:rsid w:val="005B368E"/>
    <w:rsid w:val="005B6E69"/>
    <w:rsid w:val="005C0015"/>
    <w:rsid w:val="005C0E77"/>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7CD6"/>
    <w:rsid w:val="00611BE4"/>
    <w:rsid w:val="0061219B"/>
    <w:rsid w:val="00621419"/>
    <w:rsid w:val="00626446"/>
    <w:rsid w:val="00626BE8"/>
    <w:rsid w:val="00627CF9"/>
    <w:rsid w:val="00631827"/>
    <w:rsid w:val="00632804"/>
    <w:rsid w:val="006376DA"/>
    <w:rsid w:val="006459DA"/>
    <w:rsid w:val="006502E8"/>
    <w:rsid w:val="00654A2B"/>
    <w:rsid w:val="0065675C"/>
    <w:rsid w:val="0065700B"/>
    <w:rsid w:val="0065793F"/>
    <w:rsid w:val="0066263B"/>
    <w:rsid w:val="0066713A"/>
    <w:rsid w:val="0067195C"/>
    <w:rsid w:val="006724F7"/>
    <w:rsid w:val="0067511A"/>
    <w:rsid w:val="0067539B"/>
    <w:rsid w:val="00675543"/>
    <w:rsid w:val="00675903"/>
    <w:rsid w:val="00675A94"/>
    <w:rsid w:val="00677396"/>
    <w:rsid w:val="00677AD9"/>
    <w:rsid w:val="00681970"/>
    <w:rsid w:val="006836D3"/>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4585A"/>
    <w:rsid w:val="007512EF"/>
    <w:rsid w:val="00754DCB"/>
    <w:rsid w:val="007551AC"/>
    <w:rsid w:val="0076101C"/>
    <w:rsid w:val="00763D87"/>
    <w:rsid w:val="007670B2"/>
    <w:rsid w:val="00771795"/>
    <w:rsid w:val="00774925"/>
    <w:rsid w:val="007854CF"/>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B7B9A"/>
    <w:rsid w:val="007C32B1"/>
    <w:rsid w:val="007C7A22"/>
    <w:rsid w:val="007C7C62"/>
    <w:rsid w:val="007D1076"/>
    <w:rsid w:val="007D12B7"/>
    <w:rsid w:val="007D2A49"/>
    <w:rsid w:val="007D5E38"/>
    <w:rsid w:val="007D7AC4"/>
    <w:rsid w:val="007E0340"/>
    <w:rsid w:val="007E1D4A"/>
    <w:rsid w:val="007E34B5"/>
    <w:rsid w:val="007E53C0"/>
    <w:rsid w:val="007E68DA"/>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578C"/>
    <w:rsid w:val="008A6A18"/>
    <w:rsid w:val="008B033F"/>
    <w:rsid w:val="008B0F1D"/>
    <w:rsid w:val="008B4003"/>
    <w:rsid w:val="008B7443"/>
    <w:rsid w:val="008C12EE"/>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8F7CB3"/>
    <w:rsid w:val="00900931"/>
    <w:rsid w:val="009057DE"/>
    <w:rsid w:val="00905F97"/>
    <w:rsid w:val="00906FA3"/>
    <w:rsid w:val="0091239D"/>
    <w:rsid w:val="00912825"/>
    <w:rsid w:val="009129B8"/>
    <w:rsid w:val="00912B99"/>
    <w:rsid w:val="00912C78"/>
    <w:rsid w:val="00927892"/>
    <w:rsid w:val="009319B9"/>
    <w:rsid w:val="00934D4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97841"/>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15AC"/>
    <w:rsid w:val="009E264E"/>
    <w:rsid w:val="009F0C98"/>
    <w:rsid w:val="009F0F81"/>
    <w:rsid w:val="009F2543"/>
    <w:rsid w:val="009F256D"/>
    <w:rsid w:val="009F341E"/>
    <w:rsid w:val="009F57CE"/>
    <w:rsid w:val="00A050F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35D"/>
    <w:rsid w:val="00A52749"/>
    <w:rsid w:val="00A5422E"/>
    <w:rsid w:val="00A56EC1"/>
    <w:rsid w:val="00A6350C"/>
    <w:rsid w:val="00A6370B"/>
    <w:rsid w:val="00A63A73"/>
    <w:rsid w:val="00A6655C"/>
    <w:rsid w:val="00A66CBB"/>
    <w:rsid w:val="00A6704E"/>
    <w:rsid w:val="00A67EA4"/>
    <w:rsid w:val="00A71A73"/>
    <w:rsid w:val="00A773FF"/>
    <w:rsid w:val="00A83AA1"/>
    <w:rsid w:val="00A906F4"/>
    <w:rsid w:val="00A9343A"/>
    <w:rsid w:val="00A9706C"/>
    <w:rsid w:val="00A97B34"/>
    <w:rsid w:val="00AA1B5C"/>
    <w:rsid w:val="00AA7A27"/>
    <w:rsid w:val="00AB1C8A"/>
    <w:rsid w:val="00AB2CF0"/>
    <w:rsid w:val="00AB3FB0"/>
    <w:rsid w:val="00AB465D"/>
    <w:rsid w:val="00AB713D"/>
    <w:rsid w:val="00AC114C"/>
    <w:rsid w:val="00AC123D"/>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9BF"/>
    <w:rsid w:val="00B33AE5"/>
    <w:rsid w:val="00B35BE5"/>
    <w:rsid w:val="00B46965"/>
    <w:rsid w:val="00B54ED0"/>
    <w:rsid w:val="00B55D47"/>
    <w:rsid w:val="00B6204E"/>
    <w:rsid w:val="00B649EC"/>
    <w:rsid w:val="00B67B5F"/>
    <w:rsid w:val="00B728DD"/>
    <w:rsid w:val="00B72D43"/>
    <w:rsid w:val="00B74121"/>
    <w:rsid w:val="00B80ABA"/>
    <w:rsid w:val="00B859FF"/>
    <w:rsid w:val="00B85C1B"/>
    <w:rsid w:val="00B85FF0"/>
    <w:rsid w:val="00B86150"/>
    <w:rsid w:val="00B878F9"/>
    <w:rsid w:val="00B9044A"/>
    <w:rsid w:val="00B960F3"/>
    <w:rsid w:val="00B96A31"/>
    <w:rsid w:val="00B96A3D"/>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D6045"/>
    <w:rsid w:val="00BE34CA"/>
    <w:rsid w:val="00BE4EEB"/>
    <w:rsid w:val="00BE562F"/>
    <w:rsid w:val="00BF116A"/>
    <w:rsid w:val="00BF1F87"/>
    <w:rsid w:val="00C0623C"/>
    <w:rsid w:val="00C06A07"/>
    <w:rsid w:val="00C132B6"/>
    <w:rsid w:val="00C21A6C"/>
    <w:rsid w:val="00C24A10"/>
    <w:rsid w:val="00C27003"/>
    <w:rsid w:val="00C27597"/>
    <w:rsid w:val="00C32BD4"/>
    <w:rsid w:val="00C33E48"/>
    <w:rsid w:val="00C356A8"/>
    <w:rsid w:val="00C3618B"/>
    <w:rsid w:val="00C403FB"/>
    <w:rsid w:val="00C4316E"/>
    <w:rsid w:val="00C441A2"/>
    <w:rsid w:val="00C479C3"/>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6A45"/>
    <w:rsid w:val="00C87B73"/>
    <w:rsid w:val="00C92444"/>
    <w:rsid w:val="00C92FBB"/>
    <w:rsid w:val="00C93327"/>
    <w:rsid w:val="00C95489"/>
    <w:rsid w:val="00C97B4D"/>
    <w:rsid w:val="00CA5602"/>
    <w:rsid w:val="00CA5CA9"/>
    <w:rsid w:val="00CA78E2"/>
    <w:rsid w:val="00CA7EDB"/>
    <w:rsid w:val="00CB1BBE"/>
    <w:rsid w:val="00CB65DB"/>
    <w:rsid w:val="00CB6BD9"/>
    <w:rsid w:val="00CB7110"/>
    <w:rsid w:val="00CC293A"/>
    <w:rsid w:val="00CE196B"/>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18E9"/>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1670"/>
    <w:rsid w:val="00DF27D6"/>
    <w:rsid w:val="00DF2BEA"/>
    <w:rsid w:val="00DF4488"/>
    <w:rsid w:val="00DF5B98"/>
    <w:rsid w:val="00DF6FA8"/>
    <w:rsid w:val="00DF701E"/>
    <w:rsid w:val="00DF7BE5"/>
    <w:rsid w:val="00E00D49"/>
    <w:rsid w:val="00E019A8"/>
    <w:rsid w:val="00E03A46"/>
    <w:rsid w:val="00E03C6D"/>
    <w:rsid w:val="00E0476F"/>
    <w:rsid w:val="00E04899"/>
    <w:rsid w:val="00E07565"/>
    <w:rsid w:val="00E0796F"/>
    <w:rsid w:val="00E10948"/>
    <w:rsid w:val="00E24371"/>
    <w:rsid w:val="00E243AB"/>
    <w:rsid w:val="00E26641"/>
    <w:rsid w:val="00E2778F"/>
    <w:rsid w:val="00E278B0"/>
    <w:rsid w:val="00E33023"/>
    <w:rsid w:val="00E331F3"/>
    <w:rsid w:val="00E3498D"/>
    <w:rsid w:val="00E35BD5"/>
    <w:rsid w:val="00E42425"/>
    <w:rsid w:val="00E43E55"/>
    <w:rsid w:val="00E4554E"/>
    <w:rsid w:val="00E46D22"/>
    <w:rsid w:val="00E4768F"/>
    <w:rsid w:val="00E53C0E"/>
    <w:rsid w:val="00E54C4E"/>
    <w:rsid w:val="00E54F7E"/>
    <w:rsid w:val="00E560CE"/>
    <w:rsid w:val="00E562DD"/>
    <w:rsid w:val="00E5674E"/>
    <w:rsid w:val="00E63783"/>
    <w:rsid w:val="00E650E2"/>
    <w:rsid w:val="00E75CAD"/>
    <w:rsid w:val="00E76922"/>
    <w:rsid w:val="00E8107D"/>
    <w:rsid w:val="00E8595B"/>
    <w:rsid w:val="00E915EC"/>
    <w:rsid w:val="00EA0C19"/>
    <w:rsid w:val="00EA11B1"/>
    <w:rsid w:val="00EA2224"/>
    <w:rsid w:val="00EA701F"/>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06BA0"/>
    <w:rsid w:val="00F11DD8"/>
    <w:rsid w:val="00F12745"/>
    <w:rsid w:val="00F13766"/>
    <w:rsid w:val="00F20A77"/>
    <w:rsid w:val="00F22C60"/>
    <w:rsid w:val="00F231A4"/>
    <w:rsid w:val="00F23252"/>
    <w:rsid w:val="00F27B2A"/>
    <w:rsid w:val="00F31762"/>
    <w:rsid w:val="00F31EBD"/>
    <w:rsid w:val="00F345D3"/>
    <w:rsid w:val="00F356ED"/>
    <w:rsid w:val="00F359B5"/>
    <w:rsid w:val="00F37B3C"/>
    <w:rsid w:val="00F37CFE"/>
    <w:rsid w:val="00F4144F"/>
    <w:rsid w:val="00F41FAC"/>
    <w:rsid w:val="00F433F3"/>
    <w:rsid w:val="00F47F64"/>
    <w:rsid w:val="00F50C9C"/>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64F6"/>
    <w:rsid w:val="00F975B0"/>
    <w:rsid w:val="00FA15F1"/>
    <w:rsid w:val="00FA19F5"/>
    <w:rsid w:val="00FA4A69"/>
    <w:rsid w:val="00FA649A"/>
    <w:rsid w:val="00FB1248"/>
    <w:rsid w:val="00FB208D"/>
    <w:rsid w:val="00FB3CF4"/>
    <w:rsid w:val="00FB4092"/>
    <w:rsid w:val="00FB4A27"/>
    <w:rsid w:val="00FB4A49"/>
    <w:rsid w:val="00FB69B3"/>
    <w:rsid w:val="00FC69CF"/>
    <w:rsid w:val="00FC6FBE"/>
    <w:rsid w:val="00FD1162"/>
    <w:rsid w:val="00FD2232"/>
    <w:rsid w:val="00FD4AE7"/>
    <w:rsid w:val="00FD65A9"/>
    <w:rsid w:val="00FD7508"/>
    <w:rsid w:val="00FE1E51"/>
    <w:rsid w:val="00FE2496"/>
    <w:rsid w:val="00FE6A2B"/>
    <w:rsid w:val="00FF0275"/>
    <w:rsid w:val="00FF07B3"/>
    <w:rsid w:val="00FF1E37"/>
    <w:rsid w:val="02F120AB"/>
    <w:rsid w:val="032B5196"/>
    <w:rsid w:val="03660764"/>
    <w:rsid w:val="04C3537C"/>
    <w:rsid w:val="04D01847"/>
    <w:rsid w:val="054D10EA"/>
    <w:rsid w:val="079004AC"/>
    <w:rsid w:val="096B38AC"/>
    <w:rsid w:val="0BA148CA"/>
    <w:rsid w:val="0C1165C4"/>
    <w:rsid w:val="0C7A03DD"/>
    <w:rsid w:val="0D6D544B"/>
    <w:rsid w:val="0DD136FE"/>
    <w:rsid w:val="0DD61B3B"/>
    <w:rsid w:val="0F8E2C57"/>
    <w:rsid w:val="1059665E"/>
    <w:rsid w:val="1066305F"/>
    <w:rsid w:val="10AC13BA"/>
    <w:rsid w:val="145A6C1B"/>
    <w:rsid w:val="14B73493"/>
    <w:rsid w:val="15823D21"/>
    <w:rsid w:val="167A2FF9"/>
    <w:rsid w:val="16B74615"/>
    <w:rsid w:val="18581C69"/>
    <w:rsid w:val="1AEC0734"/>
    <w:rsid w:val="1BBB516C"/>
    <w:rsid w:val="1C156836"/>
    <w:rsid w:val="1DEF20B0"/>
    <w:rsid w:val="214243FA"/>
    <w:rsid w:val="21AD613C"/>
    <w:rsid w:val="22467189"/>
    <w:rsid w:val="23D520BC"/>
    <w:rsid w:val="257A14F5"/>
    <w:rsid w:val="25A20B86"/>
    <w:rsid w:val="270858F0"/>
    <w:rsid w:val="27196C26"/>
    <w:rsid w:val="29EF086F"/>
    <w:rsid w:val="2C98357A"/>
    <w:rsid w:val="2D0552E3"/>
    <w:rsid w:val="2E7763D7"/>
    <w:rsid w:val="2EFFE297"/>
    <w:rsid w:val="301437CA"/>
    <w:rsid w:val="349D1F0A"/>
    <w:rsid w:val="34DD0473"/>
    <w:rsid w:val="396027F1"/>
    <w:rsid w:val="3C684897"/>
    <w:rsid w:val="3D6066C5"/>
    <w:rsid w:val="433E495C"/>
    <w:rsid w:val="44450C02"/>
    <w:rsid w:val="489F2FD7"/>
    <w:rsid w:val="4A9401EE"/>
    <w:rsid w:val="4AC27CB3"/>
    <w:rsid w:val="4BF72BEF"/>
    <w:rsid w:val="4FA90297"/>
    <w:rsid w:val="4FC41A43"/>
    <w:rsid w:val="51DB3C59"/>
    <w:rsid w:val="550C0952"/>
    <w:rsid w:val="55762E42"/>
    <w:rsid w:val="57A7B272"/>
    <w:rsid w:val="58470068"/>
    <w:rsid w:val="58747CAC"/>
    <w:rsid w:val="5A1720F9"/>
    <w:rsid w:val="5B9C37C2"/>
    <w:rsid w:val="5BA7C654"/>
    <w:rsid w:val="5FF025E4"/>
    <w:rsid w:val="60A54109"/>
    <w:rsid w:val="61D01CDF"/>
    <w:rsid w:val="63871A2C"/>
    <w:rsid w:val="64C0607C"/>
    <w:rsid w:val="65353D54"/>
    <w:rsid w:val="65756C86"/>
    <w:rsid w:val="674D385B"/>
    <w:rsid w:val="676F09E1"/>
    <w:rsid w:val="6BB34520"/>
    <w:rsid w:val="6BF6440D"/>
    <w:rsid w:val="6C447F32"/>
    <w:rsid w:val="7357290B"/>
    <w:rsid w:val="768064F7"/>
    <w:rsid w:val="769F2138"/>
    <w:rsid w:val="798524E4"/>
    <w:rsid w:val="7A7F1C49"/>
    <w:rsid w:val="7B5B7AE6"/>
    <w:rsid w:val="7B5D1DB2"/>
    <w:rsid w:val="7B7B6628"/>
    <w:rsid w:val="7BA7071E"/>
    <w:rsid w:val="7BDF6DA8"/>
    <w:rsid w:val="7C7EDC1A"/>
    <w:rsid w:val="7CCED98D"/>
    <w:rsid w:val="7D08410F"/>
    <w:rsid w:val="7DB96DED"/>
    <w:rsid w:val="7DBB9F9B"/>
    <w:rsid w:val="7DD3AD81"/>
    <w:rsid w:val="7F1716D0"/>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0"/>
              <c:layout>
                <c:manualLayout>
                  <c:x val="0.00416751822964083"/>
                  <c:y val="-0.137147305010942"/>
                </c:manualLayout>
              </c:layout>
              <c:tx>
                <c:rich>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r>
                      <a:rPr lang="en-US" altLang="zh-CN"/>
                      <a:t>100%</a:t>
                    </a:r>
                    <a:endParaRPr lang="en-US" altLang="zh-CN"/>
                  </a:p>
                </c:rich>
              </c:tx>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General"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1"/>
                <c:pt idx="0">
                  <c:v>财政拨款收入</c:v>
                </c:pt>
              </c:strCache>
            </c:strRef>
          </c:cat>
          <c:val>
            <c:numRef>
              <c:f>Sheet1!$B$2:$B$7</c:f>
              <c:numCache>
                <c:formatCode>General</c:formatCode>
                <c:ptCount val="6"/>
                <c:pt idx="0">
                  <c:v>2182.14</c:v>
                </c:pt>
              </c:numCache>
            </c:numRef>
          </c:val>
        </c:ser>
        <c:dLbls>
          <c:showLegendKey val="false"/>
          <c:showVal val="true"/>
          <c:showCatName val="false"/>
          <c:showSerName val="false"/>
          <c:showPercent val="false"/>
          <c:showBubbleSize val="false"/>
          <c:showLeaderLines val="true"/>
        </c:dLbls>
        <c:firstSliceAng val="0"/>
      </c:pieChart>
    </c:plotArea>
    <c:legend>
      <c:legendPos val="b"/>
      <c:legendEntry>
        <c:idx val="1"/>
        <c:delete val="true"/>
      </c:legendEntry>
      <c:legendEntry>
        <c:idx val="2"/>
        <c:delete val="true"/>
      </c:legendEntry>
      <c:legendEntry>
        <c:idx val="3"/>
        <c:delete val="true"/>
      </c:legendEntry>
      <c:legendEntry>
        <c:idx val="4"/>
        <c:delete val="true"/>
      </c:legendEntry>
      <c:legendEntry>
        <c:idx val="5"/>
        <c:delete val="true"/>
      </c:legendEntry>
      <c:layout>
        <c:manualLayout>
          <c:xMode val="edge"/>
          <c:yMode val="edge"/>
          <c:x val="0.702640650333998"/>
          <c:y val="0.454142823093391"/>
          <c:w val="0.267992256041143"/>
          <c:h val="0.0986251070947738"/>
        </c:manualLayout>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spPr>
            <a:solidFill>
              <a:schemeClr val="accent1"/>
            </a:solidFill>
          </c:spPr>
          <c:explosion val="0"/>
          <c:dPt>
            <c:idx val="0"/>
            <c:bubble3D val="false"/>
            <c:spPr>
              <a:solidFill>
                <a:schemeClr val="accent2"/>
              </a:solidFill>
              <a:ln w="19050">
                <a:solidFill>
                  <a:srgbClr val="FFFFFF"/>
                </a:solidFill>
              </a:ln>
              <a:effectLst/>
            </c:spPr>
          </c:dPt>
          <c:dPt>
            <c:idx val="1"/>
            <c:bubble3D val="false"/>
            <c:spPr>
              <a:solidFill>
                <a:schemeClr val="accent1"/>
              </a:solidFill>
              <a:ln w="19050">
                <a:solidFill>
                  <a:srgbClr val="FFFFFF"/>
                </a:solidFill>
              </a:ln>
              <a:effectLst/>
            </c:spPr>
          </c:dPt>
          <c:dPt>
            <c:idx val="2"/>
            <c:bubble3D val="false"/>
            <c:spPr>
              <a:solidFill>
                <a:schemeClr val="accent1"/>
              </a:solidFill>
              <a:ln w="19050">
                <a:solidFill>
                  <a:srgbClr val="FFFFFF"/>
                </a:solidFill>
              </a:ln>
              <a:effectLst/>
            </c:spPr>
          </c:dPt>
          <c:dPt>
            <c:idx val="3"/>
            <c:bubble3D val="false"/>
            <c:spPr>
              <a:solidFill>
                <a:schemeClr val="accent1"/>
              </a:solidFill>
              <a:ln w="19050">
                <a:solidFill>
                  <a:srgbClr val="FFFFFF"/>
                </a:solidFill>
              </a:ln>
              <a:effectLst/>
            </c:spPr>
          </c:dPt>
          <c:dPt>
            <c:idx val="4"/>
            <c:bubble3D val="false"/>
            <c:spPr>
              <a:solidFill>
                <a:schemeClr val="accent1"/>
              </a:solidFill>
              <a:ln w="19050">
                <a:solidFill>
                  <a:srgbClr val="FFFFFF"/>
                </a:solidFill>
              </a:ln>
              <a:effectLst/>
            </c:spPr>
          </c:dPt>
          <c:dLbls>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1664.36</c:v>
                </c:pt>
                <c:pt idx="1">
                  <c:v>188.34</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delete val="true"/>
      </c:legendEntry>
      <c:legendEntry>
        <c:idx val="3"/>
        <c:delete val="true"/>
      </c:legendEntry>
      <c:legendEntry>
        <c:idx val="4"/>
        <c:delete val="true"/>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3613</Words>
  <Characters>4073</Characters>
  <Lines>29</Lines>
  <Paragraphs>8</Paragraphs>
  <TotalTime>154</TotalTime>
  <ScaleCrop>false</ScaleCrop>
  <LinksUpToDate>false</LinksUpToDate>
  <CharactersWithSpaces>4091</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user</cp:lastModifiedBy>
  <cp:lastPrinted>2025-09-04T10:05:00Z</cp:lastPrinted>
  <dcterms:modified xsi:type="dcterms:W3CDTF">2025-09-15T18:27:01Z</dcterms:modified>
  <dc:title>北京市财政局关于做好向市人大常委会报送2015年度市级部门决算（草案）</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435078ACFECC4A5A8A519EF4C3681114_13</vt:lpwstr>
  </property>
  <property fmtid="{D5CDD505-2E9C-101B-9397-08002B2CF9AE}" pid="4" name="KSOTemplateDocerSaveRecord">
    <vt:lpwstr>eyJoZGlkIjoiNjllMTQ1N2NiYWJhNmE3MmJmNjczYjE3MmE0Mzc5ZDEiLCJ1c2VySWQiOiIxMjgzMzY4NzkzIn0=</vt:lpwstr>
  </property>
</Properties>
</file>