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D26E8">
      <w:pPr>
        <w:jc w:val="center"/>
        <w:rPr>
          <w:rFonts w:ascii="仿宋_GB2312" w:eastAsia="仿宋_GB2312"/>
          <w:b/>
          <w:sz w:val="32"/>
          <w:szCs w:val="32"/>
        </w:rPr>
      </w:pPr>
      <w:bookmarkStart w:id="0" w:name="_GoBack"/>
      <w:bookmarkEnd w:id="0"/>
    </w:p>
    <w:p w14:paraId="6747A83B">
      <w:pPr>
        <w:jc w:val="center"/>
        <w:rPr>
          <w:rFonts w:ascii="黑体" w:eastAsia="黑体"/>
          <w:sz w:val="72"/>
          <w:szCs w:val="72"/>
        </w:rPr>
      </w:pPr>
    </w:p>
    <w:p w14:paraId="57A04EAD">
      <w:pPr>
        <w:jc w:val="center"/>
        <w:rPr>
          <w:rFonts w:ascii="黑体" w:eastAsia="黑体"/>
          <w:sz w:val="72"/>
          <w:szCs w:val="72"/>
        </w:rPr>
      </w:pPr>
    </w:p>
    <w:p w14:paraId="0C69BAD6">
      <w:pPr>
        <w:jc w:val="center"/>
        <w:rPr>
          <w:rFonts w:ascii="黑体" w:eastAsia="黑体"/>
          <w:sz w:val="72"/>
          <w:szCs w:val="72"/>
        </w:rPr>
      </w:pPr>
    </w:p>
    <w:p w14:paraId="5BFA1A4C">
      <w:pPr>
        <w:jc w:val="center"/>
        <w:rPr>
          <w:rFonts w:ascii="黑体" w:eastAsia="黑体"/>
          <w:sz w:val="72"/>
          <w:szCs w:val="72"/>
        </w:rPr>
      </w:pPr>
    </w:p>
    <w:p w14:paraId="49478DEC">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CB6306F">
      <w:pPr>
        <w:jc w:val="center"/>
        <w:rPr>
          <w:rFonts w:ascii="黑体" w:eastAsia="黑体"/>
          <w:sz w:val="52"/>
          <w:szCs w:val="52"/>
        </w:rPr>
      </w:pPr>
    </w:p>
    <w:p w14:paraId="178AFCC3">
      <w:pPr>
        <w:jc w:val="center"/>
        <w:rPr>
          <w:rFonts w:ascii="黑体" w:eastAsia="黑体"/>
          <w:sz w:val="52"/>
          <w:szCs w:val="52"/>
        </w:rPr>
      </w:pPr>
    </w:p>
    <w:p w14:paraId="47FD686A">
      <w:pPr>
        <w:jc w:val="center"/>
        <w:rPr>
          <w:rFonts w:ascii="黑体" w:eastAsia="黑体"/>
          <w:sz w:val="52"/>
          <w:szCs w:val="52"/>
        </w:rPr>
      </w:pPr>
    </w:p>
    <w:p w14:paraId="3EF6525F">
      <w:pPr>
        <w:jc w:val="center"/>
        <w:rPr>
          <w:rFonts w:ascii="黑体" w:eastAsia="黑体"/>
          <w:sz w:val="52"/>
          <w:szCs w:val="52"/>
        </w:rPr>
      </w:pPr>
    </w:p>
    <w:p w14:paraId="00598E6A">
      <w:pPr>
        <w:jc w:val="center"/>
        <w:rPr>
          <w:rFonts w:ascii="黑体" w:eastAsia="黑体"/>
          <w:sz w:val="32"/>
          <w:szCs w:val="32"/>
        </w:rPr>
      </w:pPr>
    </w:p>
    <w:p w14:paraId="69E34FFC">
      <w:pPr>
        <w:spacing w:line="500" w:lineRule="exact"/>
        <w:ind w:firstLine="645"/>
        <w:jc w:val="center"/>
        <w:rPr>
          <w:rFonts w:ascii="宋体" w:hAnsi="宋体" w:cs="宋体"/>
          <w:b/>
          <w:bCs/>
          <w:kern w:val="0"/>
          <w:sz w:val="44"/>
          <w:szCs w:val="36"/>
        </w:rPr>
        <w:sectPr>
          <w:footerReference r:id="rId3" w:type="default"/>
          <w:pgSz w:w="16838" w:h="11906" w:orient="landscape"/>
          <w:pgMar w:top="1134" w:right="1134" w:bottom="1134" w:left="1134" w:header="851" w:footer="992" w:gutter="0"/>
          <w:cols w:space="720" w:num="1"/>
          <w:docGrid w:type="linesAndChars" w:linePitch="312" w:charSpace="0"/>
        </w:sectPr>
      </w:pPr>
    </w:p>
    <w:p w14:paraId="1A30861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F5A34DB">
      <w:pPr>
        <w:spacing w:line="500" w:lineRule="exact"/>
        <w:ind w:firstLine="645"/>
        <w:jc w:val="center"/>
        <w:rPr>
          <w:rFonts w:ascii="宋体" w:hAnsi="宋体" w:cs="宋体"/>
          <w:b/>
          <w:bCs/>
          <w:kern w:val="0"/>
          <w:sz w:val="36"/>
          <w:szCs w:val="36"/>
        </w:rPr>
      </w:pPr>
    </w:p>
    <w:p w14:paraId="41DDD23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33FBD38A">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2C390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52E33D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D156EB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659F3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A2CA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90E58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6FD9E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2D13E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3F5D789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C72C98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6F2D82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5E47558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2E9E9FF3">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B3B3068">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39846029">
      <w:pPr>
        <w:tabs>
          <w:tab w:val="center" w:pos="6979"/>
        </w:tabs>
        <w:spacing w:before="156" w:beforeLines="50" w:after="156" w:afterLines="50"/>
        <w:jc w:val="center"/>
        <w:rPr>
          <w:rFonts w:ascii="宋体" w:hAnsi="宋体" w:cs="宋体"/>
          <w:b/>
          <w:bCs/>
          <w:spacing w:val="40"/>
          <w:kern w:val="0"/>
          <w:sz w:val="32"/>
          <w:szCs w:val="32"/>
        </w:rPr>
      </w:pPr>
    </w:p>
    <w:p w14:paraId="4AEE2F35">
      <w:pPr>
        <w:tabs>
          <w:tab w:val="center" w:pos="6979"/>
        </w:tabs>
        <w:spacing w:before="156" w:beforeLines="50" w:after="156" w:afterLines="50"/>
        <w:jc w:val="center"/>
        <w:rPr>
          <w:rFonts w:ascii="宋体" w:hAnsi="宋体" w:cs="宋体"/>
          <w:b/>
          <w:bCs/>
          <w:spacing w:val="40"/>
          <w:kern w:val="0"/>
          <w:sz w:val="32"/>
          <w:szCs w:val="32"/>
        </w:rPr>
      </w:pPr>
    </w:p>
    <w:p w14:paraId="21ED32B5">
      <w:pPr>
        <w:tabs>
          <w:tab w:val="center" w:pos="6979"/>
        </w:tabs>
        <w:spacing w:before="156" w:beforeLines="50" w:after="156" w:afterLines="50"/>
        <w:jc w:val="center"/>
        <w:rPr>
          <w:rFonts w:ascii="宋体" w:hAnsi="宋体" w:cs="宋体"/>
          <w:b/>
          <w:bCs/>
          <w:spacing w:val="40"/>
          <w:kern w:val="0"/>
          <w:sz w:val="32"/>
          <w:szCs w:val="32"/>
        </w:rPr>
      </w:pPr>
    </w:p>
    <w:p w14:paraId="6D2BF778">
      <w:pPr>
        <w:tabs>
          <w:tab w:val="center" w:pos="6979"/>
        </w:tabs>
        <w:spacing w:before="156" w:beforeLines="50" w:after="156" w:afterLines="50"/>
        <w:jc w:val="center"/>
        <w:rPr>
          <w:rFonts w:ascii="宋体" w:hAnsi="宋体" w:cs="宋体"/>
          <w:b/>
          <w:bCs/>
          <w:spacing w:val="40"/>
          <w:kern w:val="0"/>
          <w:sz w:val="32"/>
          <w:szCs w:val="32"/>
        </w:rPr>
      </w:pPr>
    </w:p>
    <w:p w14:paraId="3DBEEC73">
      <w:pPr>
        <w:tabs>
          <w:tab w:val="center" w:pos="6979"/>
        </w:tabs>
        <w:spacing w:before="156" w:beforeLines="50" w:after="156" w:afterLines="50"/>
        <w:jc w:val="center"/>
        <w:rPr>
          <w:rFonts w:ascii="宋体" w:hAnsi="宋体" w:cs="宋体"/>
          <w:b/>
          <w:bCs/>
          <w:spacing w:val="40"/>
          <w:kern w:val="0"/>
          <w:sz w:val="32"/>
          <w:szCs w:val="32"/>
        </w:rPr>
      </w:pPr>
    </w:p>
    <w:p w14:paraId="59896E3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35F3C2F">
      <w:pPr>
        <w:pStyle w:val="3"/>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6769218">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768688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6A8655F">
      <w:pPr>
        <w:spacing w:line="560" w:lineRule="exact"/>
        <w:ind w:firstLine="560" w:firstLineChars="200"/>
        <w:rPr>
          <w:rFonts w:ascii="仿宋_GB2312" w:eastAsia="仿宋_GB2312"/>
          <w:sz w:val="28"/>
          <w:szCs w:val="28"/>
        </w:rPr>
      </w:pPr>
      <w:r>
        <w:rPr>
          <w:rFonts w:hint="eastAsia" w:ascii="仿宋_GB2312" w:eastAsia="仿宋_GB2312"/>
          <w:sz w:val="28"/>
          <w:szCs w:val="28"/>
        </w:rPr>
        <w:t>北京国际科技合作中心（北京港澳台科技合作中心）根据中共北京市委机构编制委员会《关于市科委、中关村管委会所属事业单位改革有关事项的批复》（京编委〔2021〕66号），</w:t>
      </w:r>
      <w:r>
        <w:rPr>
          <w:rFonts w:hint="eastAsia" w:ascii="仿宋_GB2312" w:hAnsi="仿宋_GB2312" w:eastAsia="仿宋_GB2312" w:cs="仿宋_GB2312"/>
          <w:color w:val="000000"/>
          <w:kern w:val="0"/>
          <w:sz w:val="28"/>
          <w:szCs w:val="28"/>
          <w:lang w:bidi="ar"/>
        </w:rPr>
        <w:t>为公益一类事业单位。</w:t>
      </w:r>
      <w:r>
        <w:rPr>
          <w:rFonts w:hint="eastAsia" w:ascii="仿宋_GB2312" w:eastAsia="仿宋_GB2312"/>
          <w:sz w:val="28"/>
          <w:szCs w:val="28"/>
        </w:rPr>
        <w:t>主要职责是：承担国际及港澳台科技合作有关规划政策研究、重大科技交往、科技合作、技术转移等事务性工作，承担驻海外联络处联络管理、重大科技会议和活动筹办等具体工作。</w:t>
      </w:r>
    </w:p>
    <w:p w14:paraId="22B8827A">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本单位内设部门分别是综合管理部、国际组织部、创新服务部、欧美合作部、带路合作部、信息活动部、港澳台合作部。</w:t>
      </w:r>
    </w:p>
    <w:p w14:paraId="10317FA1">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0F74ED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2466.44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减少134.48万元，下降5.17%。</w:t>
      </w:r>
    </w:p>
    <w:p w14:paraId="2D386CD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E7E693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2074.81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126.57万元，增长6.50%。</w:t>
      </w:r>
    </w:p>
    <w:p w14:paraId="0651006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2074.81</w:t>
      </w:r>
      <w:r>
        <w:rPr>
          <w:rFonts w:hint="eastAsia" w:ascii="仿宋_GB2312" w:eastAsia="仿宋_GB2312"/>
          <w:sz w:val="28"/>
          <w:szCs w:val="28"/>
        </w:rPr>
        <w:t>万元，占收入合计的100%。其中：一般公共预算财政拨款收入</w:t>
      </w:r>
      <w:r>
        <w:rPr>
          <w:rFonts w:ascii="仿宋_GB2312" w:eastAsia="仿宋_GB2312"/>
          <w:sz w:val="28"/>
          <w:szCs w:val="28"/>
        </w:rPr>
        <w:t>2074.81</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397D3C5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82192D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334F92A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AA4A89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EAB59B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4BE3599F">
      <w:pPr>
        <w:pStyle w:val="3"/>
        <w:jc w:val="center"/>
      </w:pPr>
      <w:r>
        <w:rPr>
          <w:rFonts w:hint="eastAsia" w:ascii="仿宋_GB2312" w:eastAsia="仿宋_GB2312"/>
          <w:color w:val="000000"/>
          <w:sz w:val="32"/>
        </w:rPr>
        <w:t>图1：收入决算</w:t>
      </w:r>
    </w:p>
    <w:p w14:paraId="4B963AAC">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649A3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E0FF7D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1709.83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减少216.07万元，下降11.22%，其中：基本支出</w:t>
      </w:r>
      <w:r>
        <w:rPr>
          <w:rFonts w:ascii="仿宋_GB2312" w:eastAsia="仿宋_GB2312"/>
          <w:sz w:val="28"/>
          <w:szCs w:val="28"/>
        </w:rPr>
        <w:t>1246.18</w:t>
      </w:r>
      <w:r>
        <w:rPr>
          <w:rFonts w:hint="eastAsia" w:ascii="仿宋_GB2312" w:eastAsia="仿宋_GB2312"/>
          <w:sz w:val="28"/>
          <w:szCs w:val="28"/>
        </w:rPr>
        <w:t>万元，占支出合计的72.88%；项目支出</w:t>
      </w:r>
      <w:r>
        <w:rPr>
          <w:rFonts w:ascii="仿宋_GB2312" w:eastAsia="仿宋_GB2312"/>
          <w:sz w:val="28"/>
          <w:szCs w:val="28"/>
        </w:rPr>
        <w:t>463.66</w:t>
      </w:r>
      <w:r>
        <w:rPr>
          <w:rFonts w:hint="eastAsia" w:ascii="仿宋_GB2312" w:eastAsia="仿宋_GB2312"/>
          <w:sz w:val="28"/>
          <w:szCs w:val="28"/>
        </w:rPr>
        <w:t>万元，占支出合计的27.12%</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80AAC54">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06D33C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CC546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48BA48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2074.81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140.08万元，增长7.24%。主要原因：</w:t>
      </w:r>
      <w:r>
        <w:rPr>
          <w:rFonts w:hint="eastAsia" w:ascii="仿宋_GB2312" w:eastAsia="仿宋_GB2312"/>
          <w:sz w:val="28"/>
          <w:szCs w:val="28"/>
          <w:lang w:val="en-US" w:eastAsia="zh-CN"/>
        </w:rPr>
        <w:t>根据人员实际情况，调整相关经费</w:t>
      </w:r>
      <w:r>
        <w:rPr>
          <w:rFonts w:hint="eastAsia" w:ascii="仿宋_GB2312" w:eastAsia="仿宋_GB2312"/>
          <w:sz w:val="28"/>
          <w:szCs w:val="28"/>
        </w:rPr>
        <w:t>。</w:t>
      </w:r>
    </w:p>
    <w:p w14:paraId="6613E05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22D43B6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325756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1575.95</w:t>
      </w:r>
      <w:r>
        <w:rPr>
          <w:rFonts w:hint="eastAsia" w:ascii="仿宋_GB2312" w:eastAsia="仿宋_GB2312"/>
          <w:sz w:val="28"/>
          <w:szCs w:val="28"/>
        </w:rPr>
        <w:t>万元，主要用于以下方面（按大类）：科学技术支出1339.67万元，占本年财政拨款支出85.01%；社会保障和就业支出148.69万元，占本年财政拨款支出9.43%；卫生健康支出87.59万元，占本年财政拨款支出5.56%。</w:t>
      </w:r>
    </w:p>
    <w:p w14:paraId="333BFB5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2F356C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1、“科学技术支出”2024年度年初预算1751.92万元，2024年度决算1339.67万元，完成年初预算的76.47%。其中：</w:t>
      </w:r>
    </w:p>
    <w:p w14:paraId="2D3DB903">
      <w:pPr>
        <w:spacing w:line="580" w:lineRule="exact"/>
        <w:ind w:firstLine="560" w:firstLineChars="200"/>
        <w:rPr>
          <w:rFonts w:ascii="仿宋_GB2312" w:eastAsia="仿宋_GB2312"/>
          <w:sz w:val="28"/>
          <w:szCs w:val="28"/>
        </w:rPr>
      </w:pPr>
      <w:r>
        <w:rPr>
          <w:rFonts w:hint="eastAsia" w:ascii="仿宋_GB2312" w:eastAsia="仿宋_GB2312"/>
          <w:sz w:val="28"/>
          <w:szCs w:val="28"/>
        </w:rPr>
        <w:t>“应用研究”2024年度年初预算1167.11万元，2024年度决算902.33万元，完成年初预算的77.31%。主要原因：落实政府“过紧日子”要求，厉行勤俭节约，根据人员实际变化情况，压减相关经费支出。</w:t>
      </w:r>
    </w:p>
    <w:p w14:paraId="6ADEA48A">
      <w:pPr>
        <w:spacing w:line="580" w:lineRule="exact"/>
        <w:ind w:firstLine="560" w:firstLineChars="200"/>
        <w:rPr>
          <w:rFonts w:eastAsia="仿宋_GB2312"/>
          <w:highlight w:val="none"/>
        </w:rPr>
      </w:pPr>
      <w:r>
        <w:rPr>
          <w:rFonts w:hint="eastAsia" w:ascii="仿宋_GB2312" w:eastAsia="仿宋_GB2312"/>
          <w:sz w:val="28"/>
          <w:szCs w:val="28"/>
        </w:rPr>
        <w:t>“科技条件与服务”2024年度年初预算584.81万元，2024年度决算437.34万元，完成年初预算的74.78%。主要原因：</w:t>
      </w:r>
      <w:r>
        <w:rPr>
          <w:rFonts w:hint="eastAsia" w:ascii="仿宋_GB2312" w:eastAsia="仿宋_GB2312"/>
          <w:sz w:val="28"/>
          <w:szCs w:val="28"/>
          <w:highlight w:val="none"/>
        </w:rPr>
        <w:t>提高资金使用效益，进一步优化项目支出内容，减少国际科技合作信息收集、资源拓展等方面的经费支出。</w:t>
      </w:r>
    </w:p>
    <w:p w14:paraId="389C8EC4">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2、“社会保障和就业支出”2024年度年初预算204.86万元，2024年度决算148.69万元，完成年初预算的72.58%。其中：</w:t>
      </w:r>
    </w:p>
    <w:p w14:paraId="6FDA9EB1">
      <w:pPr>
        <w:spacing w:line="580" w:lineRule="exact"/>
        <w:ind w:firstLine="560" w:firstLineChars="200"/>
        <w:rPr>
          <w:rFonts w:ascii="仿宋_GB2312" w:eastAsia="仿宋_GB2312"/>
          <w:sz w:val="28"/>
          <w:szCs w:val="28"/>
          <w:highlight w:val="yellow"/>
        </w:rPr>
      </w:pPr>
      <w:r>
        <w:rPr>
          <w:rFonts w:hint="eastAsia" w:ascii="仿宋_GB2312" w:eastAsia="仿宋_GB2312"/>
          <w:sz w:val="28"/>
          <w:szCs w:val="28"/>
        </w:rPr>
        <w:t>“行政事业单位养老支出”2024年度年初预算204.86万元，2024年度决算148.69万元，完成年初预算的72.58%。主要原因：落实政府“过紧日子”要求，厉行勤俭节约，根据人员实际变化情况，压减相关经费支出。</w:t>
      </w:r>
    </w:p>
    <w:p w14:paraId="4607A615">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3、“卫生健康支出”2024年度年初预算118.03万元，2024年度决算87.59万元，完成年初预算的74.21%。其中：</w:t>
      </w:r>
    </w:p>
    <w:p w14:paraId="0795DF8E">
      <w:pPr>
        <w:spacing w:line="580" w:lineRule="exact"/>
        <w:ind w:firstLine="560" w:firstLineChars="200"/>
        <w:rPr>
          <w:rFonts w:ascii="黑体" w:eastAsia="黑体"/>
          <w:b/>
          <w:sz w:val="28"/>
          <w:szCs w:val="28"/>
          <w:highlight w:val="yellow"/>
        </w:rPr>
      </w:pPr>
      <w:r>
        <w:rPr>
          <w:rFonts w:hint="eastAsia" w:ascii="仿宋_GB2312" w:eastAsia="仿宋_GB2312"/>
          <w:sz w:val="28"/>
          <w:szCs w:val="28"/>
        </w:rPr>
        <w:t>“行政事业单位医疗”2024年度年初预算118.03万元，2024年度决算87.59万元，完成年初预算的74.21%。主要原因：落实政府“过紧日子”要求，厉行勤俭节约，根据人员实际变化情况，压减相关经费支出。</w:t>
      </w:r>
    </w:p>
    <w:p w14:paraId="3E2D9832">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B463DD2">
      <w:pPr>
        <w:spacing w:line="580" w:lineRule="exact"/>
        <w:ind w:firstLine="560" w:firstLineChars="200"/>
        <w:rPr>
          <w:rFonts w:ascii="黑体" w:eastAsia="黑体"/>
          <w:b/>
          <w:sz w:val="28"/>
          <w:szCs w:val="28"/>
        </w:rPr>
      </w:pPr>
      <w:r>
        <w:rPr>
          <w:rFonts w:hint="eastAsia" w:ascii="仿宋_GB2312" w:eastAsia="仿宋_GB2312"/>
          <w:sz w:val="28"/>
          <w:szCs w:val="28"/>
        </w:rPr>
        <w:t>本单位无此项经费。</w:t>
      </w:r>
    </w:p>
    <w:p w14:paraId="49A03B6C">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5AADFFA">
      <w:pPr>
        <w:spacing w:line="580" w:lineRule="exact"/>
        <w:ind w:firstLine="548" w:firstLineChars="196"/>
        <w:rPr>
          <w:rFonts w:ascii="仿宋_GB2312" w:eastAsia="仿宋_GB2312"/>
          <w:sz w:val="28"/>
          <w:szCs w:val="28"/>
        </w:rPr>
      </w:pPr>
      <w:r>
        <w:rPr>
          <w:rFonts w:hint="eastAsia" w:ascii="仿宋_GB2312" w:eastAsia="仿宋_GB2312"/>
          <w:sz w:val="28"/>
          <w:szCs w:val="28"/>
        </w:rPr>
        <w:t>本单位无此项经费。</w:t>
      </w:r>
    </w:p>
    <w:p w14:paraId="3BC51A4C">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0E916BB0">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1138.61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8B6C81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7AC43C25">
      <w:pPr>
        <w:tabs>
          <w:tab w:val="center" w:pos="6979"/>
        </w:tabs>
        <w:jc w:val="center"/>
        <w:rPr>
          <w:rFonts w:ascii="宋体" w:hAnsi="宋体" w:cs="宋体"/>
          <w:b/>
          <w:bCs/>
          <w:spacing w:val="40"/>
          <w:kern w:val="0"/>
          <w:sz w:val="32"/>
          <w:szCs w:val="32"/>
        </w:rPr>
      </w:pPr>
    </w:p>
    <w:p w14:paraId="3AB4F4CB">
      <w:pPr>
        <w:tabs>
          <w:tab w:val="center" w:pos="6979"/>
        </w:tabs>
        <w:jc w:val="both"/>
        <w:rPr>
          <w:rFonts w:ascii="宋体" w:hAnsi="宋体" w:cs="宋体"/>
          <w:b/>
          <w:bCs/>
          <w:spacing w:val="40"/>
          <w:kern w:val="0"/>
          <w:sz w:val="32"/>
          <w:szCs w:val="32"/>
        </w:rPr>
      </w:pPr>
    </w:p>
    <w:p w14:paraId="35FBC47D">
      <w:pPr>
        <w:widowControl/>
        <w:jc w:val="left"/>
        <w:rPr>
          <w:rFonts w:ascii="宋体" w:hAnsi="宋体" w:cs="宋体"/>
          <w:b/>
          <w:bCs/>
          <w:spacing w:val="40"/>
          <w:kern w:val="0"/>
          <w:sz w:val="32"/>
          <w:szCs w:val="32"/>
        </w:rPr>
      </w:pPr>
      <w:r>
        <w:rPr>
          <w:rFonts w:ascii="宋体" w:hAnsi="宋体" w:cs="宋体"/>
          <w:b/>
          <w:bCs/>
          <w:spacing w:val="40"/>
          <w:kern w:val="0"/>
          <w:sz w:val="32"/>
          <w:szCs w:val="32"/>
        </w:rPr>
        <w:br w:type="page"/>
      </w:r>
    </w:p>
    <w:p w14:paraId="52F3F142">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D98BB27">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9BC0C6A">
      <w:pPr>
        <w:spacing w:line="560" w:lineRule="exact"/>
        <w:ind w:firstLine="548" w:firstLineChars="196"/>
        <w:rPr>
          <w:rFonts w:ascii="仿宋_GB2312" w:eastAsia="仿宋_GB2312"/>
          <w:sz w:val="28"/>
          <w:szCs w:val="28"/>
        </w:rPr>
      </w:pPr>
      <w:r>
        <w:rPr>
          <w:rFonts w:hint="eastAsia" w:ascii="仿宋_GB2312" w:eastAsia="仿宋_GB2312"/>
          <w:sz w:val="28"/>
          <w:szCs w:val="28"/>
        </w:rPr>
        <w:t>本单位无此项经费。</w:t>
      </w:r>
    </w:p>
    <w:p w14:paraId="188D3888">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0907F4C">
      <w:pPr>
        <w:spacing w:line="560" w:lineRule="exact"/>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14:paraId="1041665C">
      <w:pPr>
        <w:ind w:left="540"/>
        <w:rPr>
          <w:rFonts w:ascii="黑体" w:eastAsia="黑体"/>
          <w:sz w:val="28"/>
          <w:szCs w:val="28"/>
        </w:rPr>
      </w:pPr>
      <w:r>
        <w:rPr>
          <w:rFonts w:hint="eastAsia" w:ascii="黑体" w:eastAsia="黑体"/>
          <w:sz w:val="28"/>
          <w:szCs w:val="28"/>
        </w:rPr>
        <w:t>三、政府采购支出情况</w:t>
      </w:r>
    </w:p>
    <w:p w14:paraId="1ED52B47">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162.64</w:t>
      </w:r>
      <w:r>
        <w:rPr>
          <w:rFonts w:hint="eastAsia" w:ascii="仿宋_GB2312" w:eastAsia="仿宋_GB2312"/>
          <w:sz w:val="28"/>
          <w:szCs w:val="28"/>
        </w:rPr>
        <w:t>万元，其中：政府采购货物支出</w:t>
      </w:r>
      <w:r>
        <w:rPr>
          <w:rFonts w:ascii="仿宋_GB2312" w:eastAsia="仿宋_GB2312"/>
          <w:sz w:val="28"/>
          <w:szCs w:val="28"/>
        </w:rPr>
        <w:t>26.36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136.28</w:t>
      </w:r>
      <w:r>
        <w:rPr>
          <w:rFonts w:hint="eastAsia" w:ascii="仿宋_GB2312" w:eastAsia="仿宋_GB2312"/>
          <w:sz w:val="28"/>
          <w:szCs w:val="28"/>
        </w:rPr>
        <w:t>万元。授予中小企业合同金额</w:t>
      </w:r>
      <w:r>
        <w:rPr>
          <w:rFonts w:ascii="仿宋_GB2312" w:eastAsia="仿宋_GB2312"/>
          <w:sz w:val="28"/>
          <w:szCs w:val="28"/>
        </w:rPr>
        <w:t>93.28</w:t>
      </w:r>
      <w:r>
        <w:rPr>
          <w:rFonts w:hint="eastAsia" w:ascii="仿宋_GB2312" w:eastAsia="仿宋_GB2312"/>
          <w:sz w:val="28"/>
          <w:szCs w:val="28"/>
        </w:rPr>
        <w:t>万元，占政府采购支出总额的57.35%，其中：授予小微企业合同金额</w:t>
      </w:r>
      <w:r>
        <w:rPr>
          <w:rFonts w:ascii="仿宋_GB2312" w:eastAsia="仿宋_GB2312"/>
          <w:sz w:val="28"/>
          <w:szCs w:val="28"/>
        </w:rPr>
        <w:t>71.97</w:t>
      </w:r>
      <w:r>
        <w:rPr>
          <w:rFonts w:hint="eastAsia" w:ascii="仿宋_GB2312" w:eastAsia="仿宋_GB2312"/>
          <w:sz w:val="28"/>
          <w:szCs w:val="28"/>
        </w:rPr>
        <w:t>万元，占政府采购支出总额的</w:t>
      </w:r>
      <w:r>
        <w:rPr>
          <w:rFonts w:ascii="仿宋_GB2312" w:eastAsia="仿宋_GB2312"/>
          <w:sz w:val="28"/>
          <w:szCs w:val="28"/>
        </w:rPr>
        <w:t>44.25</w:t>
      </w:r>
      <w:r>
        <w:rPr>
          <w:rFonts w:hint="eastAsia" w:ascii="仿宋_GB2312" w:eastAsia="仿宋_GB2312"/>
          <w:sz w:val="28"/>
          <w:szCs w:val="28"/>
        </w:rPr>
        <w:t>%。</w:t>
      </w:r>
    </w:p>
    <w:p w14:paraId="78CB27D7">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53A3D6A">
      <w:pPr>
        <w:ind w:firstLine="560" w:firstLineChars="200"/>
        <w:rPr>
          <w:rFonts w:ascii="仿宋_GB2312" w:eastAsia="仿宋_GB2312"/>
          <w:sz w:val="32"/>
          <w:szCs w:val="32"/>
        </w:rPr>
      </w:pPr>
      <w:r>
        <w:rPr>
          <w:rFonts w:hint="eastAsia" w:ascii="仿宋_GB2312" w:eastAsia="仿宋_GB2312"/>
          <w:sz w:val="28"/>
          <w:szCs w:val="28"/>
        </w:rPr>
        <w:t>截至12月31日，北京国际科技合作中心（北京港澳台科技合作中心）共有车辆1台；单位价值100万元（含）以上的设备0台（套）。</w:t>
      </w:r>
    </w:p>
    <w:p w14:paraId="1D4FCBB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0AAF57A">
      <w:pPr>
        <w:ind w:firstLine="560" w:firstLineChars="200"/>
        <w:rPr>
          <w:rFonts w:ascii="仿宋_GB2312" w:eastAsia="仿宋_GB2312"/>
          <w:sz w:val="28"/>
          <w:szCs w:val="28"/>
        </w:rPr>
      </w:pPr>
      <w:r>
        <w:rPr>
          <w:rFonts w:hint="eastAsia" w:ascii="仿宋_GB2312" w:eastAsia="仿宋_GB2312"/>
          <w:sz w:val="28"/>
          <w:szCs w:val="28"/>
        </w:rPr>
        <w:t>本单位不属于政府购买服务购买主体。</w:t>
      </w:r>
    </w:p>
    <w:p w14:paraId="4C2D5B3E">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7AB8D47">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4C04687">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DF22B6D">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18D70D2">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15D9E96">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89F5590">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F9A48AD">
      <w:pPr>
        <w:spacing w:line="560" w:lineRule="exact"/>
        <w:ind w:firstLine="560" w:firstLineChars="200"/>
        <w:rPr>
          <w:rFonts w:ascii="仿宋_GB2312" w:eastAsia="仿宋_GB2312"/>
          <w:b/>
          <w:color w:val="000000"/>
          <w:spacing w:val="-2"/>
          <w:sz w:val="32"/>
          <w:szCs w:val="32"/>
        </w:rPr>
      </w:pPr>
      <w:r>
        <w:rPr>
          <w:rFonts w:hint="eastAsia" w:ascii="仿宋_GB2312" w:eastAsia="仿宋_GB2312"/>
          <w:sz w:val="28"/>
          <w:szCs w:val="28"/>
        </w:rPr>
        <w:t>7</w:t>
      </w:r>
      <w:r>
        <w:rPr>
          <w:rFonts w:ascii="仿宋_GB2312" w:eastAsia="仿宋_GB2312"/>
          <w:sz w:val="28"/>
          <w:szCs w:val="28"/>
        </w:rPr>
        <w:t>.</w:t>
      </w:r>
      <w:r>
        <w:rPr>
          <w:rFonts w:hint="eastAsia" w:ascii="仿宋_GB2312" w:eastAsia="仿宋_GB2312"/>
          <w:sz w:val="28"/>
          <w:szCs w:val="28"/>
        </w:rPr>
        <w:t>支出功能分类项级科目名词解释</w:t>
      </w:r>
    </w:p>
    <w:p w14:paraId="2ABD4137">
      <w:pPr>
        <w:spacing w:line="560" w:lineRule="exact"/>
        <w:ind w:firstLine="560" w:firstLineChars="200"/>
        <w:rPr>
          <w:rFonts w:ascii="仿宋_GB2312" w:eastAsia="仿宋_GB2312"/>
          <w:sz w:val="28"/>
          <w:szCs w:val="28"/>
        </w:rPr>
      </w:pPr>
      <w:r>
        <w:rPr>
          <w:rFonts w:hint="eastAsia" w:ascii="仿宋_GB2312" w:eastAsia="仿宋_GB2312"/>
          <w:sz w:val="28"/>
          <w:szCs w:val="28"/>
        </w:rPr>
        <w:t>（1）科学技术支出-应用研究-机构运行：反映应用研究机构的基</w:t>
      </w:r>
      <w:r>
        <w:rPr>
          <w:rFonts w:ascii="仿宋_GB2312" w:eastAsia="仿宋_GB2312"/>
          <w:sz w:val="28"/>
          <w:szCs w:val="28"/>
        </w:rPr>
        <w:t>本支出。</w:t>
      </w:r>
    </w:p>
    <w:p w14:paraId="44035A37">
      <w:pPr>
        <w:spacing w:line="560" w:lineRule="exact"/>
        <w:ind w:firstLine="560" w:firstLineChars="200"/>
        <w:rPr>
          <w:rFonts w:ascii="仿宋_GB2312" w:eastAsia="仿宋_GB2312"/>
          <w:sz w:val="28"/>
          <w:szCs w:val="28"/>
        </w:rPr>
      </w:pPr>
      <w:r>
        <w:rPr>
          <w:rFonts w:hint="eastAsia" w:ascii="仿宋_GB2312" w:eastAsia="仿宋_GB2312"/>
          <w:sz w:val="28"/>
          <w:szCs w:val="28"/>
        </w:rPr>
        <w:t>（2）科学技术支出-科技条件与服务-机构运行：反映科技服务机构的基本支出。</w:t>
      </w:r>
    </w:p>
    <w:p w14:paraId="442BE1DC">
      <w:pPr>
        <w:spacing w:line="560" w:lineRule="exact"/>
        <w:ind w:firstLine="560" w:firstLineChars="200"/>
        <w:rPr>
          <w:rFonts w:ascii="仿宋_GB2312" w:eastAsia="仿宋_GB2312"/>
          <w:sz w:val="28"/>
          <w:szCs w:val="28"/>
        </w:rPr>
      </w:pPr>
      <w:r>
        <w:rPr>
          <w:rFonts w:hint="eastAsia" w:ascii="仿宋_GB2312" w:eastAsia="仿宋_GB2312"/>
          <w:sz w:val="28"/>
          <w:szCs w:val="28"/>
        </w:rPr>
        <w:t>（3）科学技术支出-科技条件与服务-科技条件专项：反映国家用于完善科技条件的支出，包括科技文献信息、网络环境支撑等科技条件专项支出等。</w:t>
      </w:r>
    </w:p>
    <w:p w14:paraId="71F269C5">
      <w:pPr>
        <w:rPr>
          <w:rFonts w:ascii="仿宋_GB2312" w:eastAsia="仿宋_GB2312"/>
          <w:sz w:val="28"/>
          <w:szCs w:val="28"/>
        </w:rPr>
      </w:pPr>
      <w:r>
        <w:rPr>
          <w:rFonts w:hint="eastAsia" w:ascii="仿宋_GB2312" w:eastAsia="仿宋_GB2312"/>
          <w:sz w:val="28"/>
          <w:szCs w:val="28"/>
        </w:rPr>
        <w:t xml:space="preserve">    （4）社会保障和就业支出-行政事业单位养老支出-事业单位离退休：反映事业单位开支的离退休经费。</w:t>
      </w:r>
    </w:p>
    <w:p w14:paraId="21B9D0C5">
      <w:pPr>
        <w:spacing w:line="560" w:lineRule="exact"/>
        <w:ind w:firstLine="560" w:firstLineChars="200"/>
        <w:rPr>
          <w:rFonts w:ascii="仿宋_GB2312" w:eastAsia="仿宋_GB2312"/>
          <w:sz w:val="28"/>
          <w:szCs w:val="28"/>
        </w:rPr>
      </w:pPr>
      <w:r>
        <w:rPr>
          <w:rFonts w:hint="eastAsia" w:ascii="仿宋_GB2312" w:eastAsia="仿宋_GB2312"/>
          <w:sz w:val="28"/>
          <w:szCs w:val="28"/>
        </w:rPr>
        <w:t>（5）社会保障和就业支出-行政事业单位养老支出-机关事业单位基本养老保险缴费支出：反映机关事业单位实施养老保险制度由单位缴纳的基本养老保险费支出。</w:t>
      </w:r>
    </w:p>
    <w:p w14:paraId="7505EF7F">
      <w:pPr>
        <w:spacing w:line="560" w:lineRule="exact"/>
        <w:ind w:firstLine="560" w:firstLineChars="200"/>
        <w:rPr>
          <w:rFonts w:ascii="仿宋_GB2312" w:hAnsi="仿宋_GB2312" w:eastAsia="仿宋_GB2312" w:cs="仿宋_GB2312"/>
          <w:sz w:val="28"/>
          <w:szCs w:val="28"/>
        </w:rPr>
      </w:pPr>
      <w:r>
        <w:rPr>
          <w:rFonts w:hint="eastAsia" w:ascii="仿宋_GB2312" w:eastAsia="仿宋_GB2312"/>
          <w:sz w:val="28"/>
          <w:szCs w:val="28"/>
        </w:rPr>
        <w:t>（6）社会保障和就业支出-行政事业单位养老支出-机关事业单位职业年金缴费支出：</w:t>
      </w:r>
      <w:r>
        <w:rPr>
          <w:rFonts w:hint="eastAsia" w:ascii="仿宋_GB2312" w:hAnsi="宋体" w:eastAsia="仿宋_GB2312"/>
          <w:sz w:val="28"/>
          <w:szCs w:val="28"/>
          <w:lang w:val="en"/>
        </w:rPr>
        <w:t>反映机关事业单位实施养老保险制度由单位实际缴纳的职业年金支出（含职业年金补记支出）。</w:t>
      </w:r>
    </w:p>
    <w:p w14:paraId="140F9FCE">
      <w:pPr>
        <w:spacing w:line="560" w:lineRule="exact"/>
        <w:ind w:firstLine="560" w:firstLineChars="200"/>
        <w:rPr>
          <w:rFonts w:ascii="仿宋_GB2312" w:eastAsia="仿宋_GB2312"/>
          <w:b/>
          <w:color w:val="000000"/>
          <w:spacing w:val="-2"/>
          <w:sz w:val="32"/>
          <w:szCs w:val="32"/>
        </w:rPr>
      </w:pPr>
      <w:r>
        <w:rPr>
          <w:rFonts w:hint="eastAsia" w:ascii="仿宋_GB2312" w:eastAsia="仿宋_GB2312"/>
          <w:sz w:val="28"/>
          <w:szCs w:val="28"/>
        </w:rPr>
        <w:t>（7）卫生健康支出-行政事业单位医疗-事业单位医疗：反映财政部门安排的事业单位基本医疗保险缴费经费，未参加医疗保险的事业单位的公费医疗经费，按国家规定享受离休人员待遇的医疗经费。</w:t>
      </w:r>
    </w:p>
    <w:p w14:paraId="44D43097">
      <w:pPr>
        <w:rPr>
          <w:rFonts w:ascii="黑体" w:eastAsia="黑体"/>
          <w:sz w:val="32"/>
          <w:szCs w:val="32"/>
        </w:rPr>
      </w:pPr>
    </w:p>
    <w:p w14:paraId="639399DC">
      <w:pPr>
        <w:tabs>
          <w:tab w:val="center" w:pos="6979"/>
        </w:tabs>
        <w:spacing w:line="380" w:lineRule="exact"/>
        <w:jc w:val="center"/>
        <w:rPr>
          <w:rFonts w:ascii="宋体" w:hAnsi="宋体" w:cs="宋体"/>
          <w:b/>
          <w:bCs/>
          <w:kern w:val="0"/>
          <w:sz w:val="28"/>
          <w:szCs w:val="28"/>
        </w:rPr>
      </w:pPr>
    </w:p>
    <w:p w14:paraId="0D1ABA37">
      <w:pPr>
        <w:rPr>
          <w:rFonts w:ascii="黑体" w:eastAsia="黑体"/>
          <w:sz w:val="32"/>
          <w:szCs w:val="32"/>
        </w:rPr>
      </w:pPr>
    </w:p>
    <w:p w14:paraId="4E39AA65">
      <w:pPr>
        <w:pStyle w:val="2"/>
        <w:ind w:firstLine="640"/>
        <w:rPr>
          <w:rFonts w:ascii="黑体" w:eastAsia="黑体"/>
          <w:sz w:val="32"/>
          <w:szCs w:val="32"/>
        </w:rPr>
      </w:pPr>
    </w:p>
    <w:p w14:paraId="680E3A36">
      <w:pPr>
        <w:pStyle w:val="2"/>
        <w:ind w:firstLine="640"/>
        <w:rPr>
          <w:rFonts w:ascii="黑体" w:eastAsia="黑体"/>
          <w:sz w:val="32"/>
          <w:szCs w:val="32"/>
        </w:rPr>
      </w:pPr>
    </w:p>
    <w:p w14:paraId="2CF6C730">
      <w:pPr>
        <w:pStyle w:val="2"/>
        <w:ind w:firstLine="640"/>
        <w:rPr>
          <w:rFonts w:ascii="黑体" w:eastAsia="黑体"/>
          <w:sz w:val="32"/>
          <w:szCs w:val="32"/>
        </w:rPr>
      </w:pPr>
    </w:p>
    <w:p w14:paraId="67C891F5">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20F49226">
      <w:pPr>
        <w:ind w:firstLine="560" w:firstLineChars="200"/>
        <w:rPr>
          <w:rFonts w:ascii="黑体" w:eastAsia="黑体"/>
          <w:sz w:val="28"/>
          <w:szCs w:val="28"/>
          <w:highlight w:val="yellow"/>
        </w:rPr>
      </w:pPr>
    </w:p>
    <w:p w14:paraId="6B5BC0FF">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10FE245F">
      <w:pPr>
        <w:spacing w:line="480" w:lineRule="exact"/>
        <w:rPr>
          <w:rFonts w:ascii="仿宋_GB2312" w:hAnsi="仿宋_GB2312" w:eastAsia="仿宋_GB2312" w:cs="仿宋_GB2312"/>
          <w:sz w:val="32"/>
          <w:szCs w:val="32"/>
        </w:rPr>
      </w:pPr>
    </w:p>
    <w:p w14:paraId="2C8022A4">
      <w:pPr>
        <w:spacing w:line="480" w:lineRule="exact"/>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F328D">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A839C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5A839C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EFD16">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70EEBD">
                          <w:pPr>
                            <w:pStyle w:val="7"/>
                            <w:rPr>
                              <w:rStyle w:val="13"/>
                            </w:rPr>
                          </w:pPr>
                          <w:r>
                            <w:fldChar w:fldCharType="begin"/>
                          </w:r>
                          <w:r>
                            <w:rPr>
                              <w:rStyle w:val="13"/>
                            </w:rPr>
                            <w:instrText xml:space="preserve">PAGE  </w:instrText>
                          </w:r>
                          <w:r>
                            <w:fldChar w:fldCharType="separate"/>
                          </w:r>
                          <w:r>
                            <w:rPr>
                              <w:rStyle w:val="13"/>
                            </w:rPr>
                            <w:t>1</w:t>
                          </w:r>
                          <w:r>
                            <w:fldChar w:fldCharType="end"/>
                          </w:r>
                        </w:p>
                        <w:p w14:paraId="280F2EA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E70EEBD">
                    <w:pPr>
                      <w:pStyle w:val="7"/>
                      <w:rPr>
                        <w:rStyle w:val="13"/>
                      </w:rPr>
                    </w:pPr>
                    <w:r>
                      <w:fldChar w:fldCharType="begin"/>
                    </w:r>
                    <w:r>
                      <w:rPr>
                        <w:rStyle w:val="13"/>
                      </w:rPr>
                      <w:instrText xml:space="preserve">PAGE  </w:instrText>
                    </w:r>
                    <w:r>
                      <w:fldChar w:fldCharType="separate"/>
                    </w:r>
                    <w:r>
                      <w:rPr>
                        <w:rStyle w:val="13"/>
                      </w:rPr>
                      <w:t>1</w:t>
                    </w:r>
                    <w:r>
                      <w:fldChar w:fldCharType="end"/>
                    </w:r>
                  </w:p>
                  <w:p w14:paraId="280F2EA4"/>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AF311">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685A01">
                          <w:pPr>
                            <w:pStyle w:val="7"/>
                            <w:rPr>
                              <w:rStyle w:val="13"/>
                            </w:rPr>
                          </w:pPr>
                          <w:r>
                            <w:fldChar w:fldCharType="begin"/>
                          </w:r>
                          <w:r>
                            <w:rPr>
                              <w:rStyle w:val="13"/>
                            </w:rPr>
                            <w:instrText xml:space="preserve">PAGE  </w:instrText>
                          </w:r>
                          <w:r>
                            <w:fldChar w:fldCharType="separate"/>
                          </w:r>
                          <w:r>
                            <w:rPr>
                              <w:rStyle w:val="13"/>
                            </w:rPr>
                            <w:t>11</w:t>
                          </w:r>
                          <w:r>
                            <w:fldChar w:fldCharType="end"/>
                          </w:r>
                        </w:p>
                        <w:p w14:paraId="2CEEBE6C"/>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4685A01">
                    <w:pPr>
                      <w:pStyle w:val="7"/>
                      <w:rPr>
                        <w:rStyle w:val="13"/>
                      </w:rPr>
                    </w:pPr>
                    <w:r>
                      <w:fldChar w:fldCharType="begin"/>
                    </w:r>
                    <w:r>
                      <w:rPr>
                        <w:rStyle w:val="13"/>
                      </w:rPr>
                      <w:instrText xml:space="preserve">PAGE  </w:instrText>
                    </w:r>
                    <w:r>
                      <w:fldChar w:fldCharType="separate"/>
                    </w:r>
                    <w:r>
                      <w:rPr>
                        <w:rStyle w:val="13"/>
                      </w:rPr>
                      <w:t>11</w:t>
                    </w:r>
                    <w:r>
                      <w:fldChar w:fldCharType="end"/>
                    </w:r>
                  </w:p>
                  <w:p w14:paraId="2CEEBE6C"/>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A12F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C38CE4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420B"/>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94E30"/>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E0F"/>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723B"/>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A6D"/>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A731B"/>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63B4"/>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69A4"/>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18FE"/>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950"/>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C2B70A0"/>
    <w:rsid w:val="0D6D544B"/>
    <w:rsid w:val="0DD136FE"/>
    <w:rsid w:val="0F8E2C57"/>
    <w:rsid w:val="1059665E"/>
    <w:rsid w:val="10AC13BA"/>
    <w:rsid w:val="145A6C1B"/>
    <w:rsid w:val="14B73493"/>
    <w:rsid w:val="167A2FF9"/>
    <w:rsid w:val="18581C69"/>
    <w:rsid w:val="185B5244"/>
    <w:rsid w:val="18E8560B"/>
    <w:rsid w:val="1AEC0734"/>
    <w:rsid w:val="1DEF20B0"/>
    <w:rsid w:val="214243FA"/>
    <w:rsid w:val="21AD613C"/>
    <w:rsid w:val="22467189"/>
    <w:rsid w:val="2365370B"/>
    <w:rsid w:val="257A14F5"/>
    <w:rsid w:val="27196C26"/>
    <w:rsid w:val="27F41B4B"/>
    <w:rsid w:val="29EF086F"/>
    <w:rsid w:val="2CEB03CC"/>
    <w:rsid w:val="2EFFE297"/>
    <w:rsid w:val="2F2D42EC"/>
    <w:rsid w:val="301437CA"/>
    <w:rsid w:val="302D3DA6"/>
    <w:rsid w:val="31995392"/>
    <w:rsid w:val="349D1F0A"/>
    <w:rsid w:val="34DD0473"/>
    <w:rsid w:val="3C684897"/>
    <w:rsid w:val="3C8D2A0B"/>
    <w:rsid w:val="433E495C"/>
    <w:rsid w:val="489F2FD7"/>
    <w:rsid w:val="4AC27CB3"/>
    <w:rsid w:val="4BF72BEF"/>
    <w:rsid w:val="4F877A46"/>
    <w:rsid w:val="4FA90297"/>
    <w:rsid w:val="4FC41A43"/>
    <w:rsid w:val="51DB3C59"/>
    <w:rsid w:val="54033B6A"/>
    <w:rsid w:val="550C0952"/>
    <w:rsid w:val="55762E42"/>
    <w:rsid w:val="579F7D88"/>
    <w:rsid w:val="57A7B272"/>
    <w:rsid w:val="58470068"/>
    <w:rsid w:val="58747CAC"/>
    <w:rsid w:val="597E1FDB"/>
    <w:rsid w:val="5A1720F9"/>
    <w:rsid w:val="5B9C37C2"/>
    <w:rsid w:val="5BA7C654"/>
    <w:rsid w:val="5F4872DE"/>
    <w:rsid w:val="60A54109"/>
    <w:rsid w:val="61D01CDF"/>
    <w:rsid w:val="62DC3CAF"/>
    <w:rsid w:val="64C0607C"/>
    <w:rsid w:val="65756C86"/>
    <w:rsid w:val="674D385B"/>
    <w:rsid w:val="676F09E1"/>
    <w:rsid w:val="6799575B"/>
    <w:rsid w:val="69A9335D"/>
    <w:rsid w:val="71793A80"/>
    <w:rsid w:val="7357290B"/>
    <w:rsid w:val="746B5831"/>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2074.81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ee523db-1769-41d7-9c63-d7e4440cd13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1246.18</c:v>
                </c:pt>
                <c:pt idx="1">
                  <c:v>463.66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21afaf1-4a44-4ae8-9946-acda480d9b2c}"/>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3390</Words>
  <Characters>3789</Characters>
  <Lines>29</Lines>
  <Paragraphs>8</Paragraphs>
  <TotalTime>34</TotalTime>
  <ScaleCrop>false</ScaleCrop>
  <LinksUpToDate>false</LinksUpToDate>
  <CharactersWithSpaces>3812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2025-09-02T01:46:00Z</cp:lastPrinted>
  <dcterms:modified xsi:type="dcterms:W3CDTF">2025-09-04T06:50:52Z</dcterms:modified>
  <dc:title>北京市财政局关于做好向市人大常委会报送2015年度市级部门决算（草案）</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FAE5EAA735F94360AB56DD8D1BF8C51F_13</vt:lpwstr>
  </property>
  <property fmtid="{D5CDD505-2E9C-101B-9397-08002B2CF9AE}" pid="4" name="KSOTemplateDocerSaveRecord">
    <vt:lpwstr>eyJoZGlkIjoiNjllMTQ1N2NiYWJhNmE3MmJmNjczYjE3MmE0Mzc5ZDEiLCJ1c2VySWQiOiIxMjgzMzY4NzkzIn0=</vt:lpwstr>
  </property>
</Properties>
</file>