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E5DCD">
      <w:pPr>
        <w:jc w:val="center"/>
        <w:rPr>
          <w:rFonts w:ascii="仿宋_GB2312" w:eastAsia="仿宋_GB2312"/>
          <w:b/>
          <w:sz w:val="32"/>
          <w:szCs w:val="32"/>
        </w:rPr>
      </w:pPr>
    </w:p>
    <w:p w14:paraId="36809184">
      <w:pPr>
        <w:jc w:val="center"/>
        <w:rPr>
          <w:rFonts w:ascii="黑体" w:eastAsia="黑体"/>
          <w:sz w:val="72"/>
          <w:szCs w:val="72"/>
        </w:rPr>
      </w:pPr>
    </w:p>
    <w:p w14:paraId="6376CCAE">
      <w:pPr>
        <w:jc w:val="center"/>
        <w:rPr>
          <w:rFonts w:ascii="黑体" w:eastAsia="黑体"/>
          <w:sz w:val="72"/>
          <w:szCs w:val="72"/>
        </w:rPr>
      </w:pPr>
    </w:p>
    <w:p w14:paraId="44895194">
      <w:pPr>
        <w:jc w:val="center"/>
        <w:rPr>
          <w:rFonts w:ascii="黑体" w:eastAsia="黑体"/>
          <w:sz w:val="72"/>
          <w:szCs w:val="72"/>
        </w:rPr>
      </w:pPr>
    </w:p>
    <w:p w14:paraId="5AA23148">
      <w:pPr>
        <w:jc w:val="center"/>
        <w:rPr>
          <w:rFonts w:ascii="黑体" w:eastAsia="黑体"/>
          <w:sz w:val="72"/>
          <w:szCs w:val="72"/>
        </w:rPr>
      </w:pPr>
    </w:p>
    <w:p w14:paraId="331BA583">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3F6F9040">
      <w:pPr>
        <w:jc w:val="center"/>
        <w:rPr>
          <w:rFonts w:ascii="黑体" w:eastAsia="黑体"/>
          <w:sz w:val="52"/>
          <w:szCs w:val="52"/>
        </w:rPr>
      </w:pPr>
    </w:p>
    <w:p w14:paraId="7D81B242">
      <w:pPr>
        <w:jc w:val="center"/>
        <w:rPr>
          <w:rFonts w:ascii="黑体" w:eastAsia="黑体"/>
          <w:sz w:val="52"/>
          <w:szCs w:val="52"/>
        </w:rPr>
      </w:pPr>
    </w:p>
    <w:p w14:paraId="0C4E3C47">
      <w:pPr>
        <w:jc w:val="center"/>
        <w:rPr>
          <w:rFonts w:ascii="黑体" w:eastAsia="黑体"/>
          <w:sz w:val="52"/>
          <w:szCs w:val="52"/>
        </w:rPr>
      </w:pPr>
    </w:p>
    <w:p w14:paraId="41D88A7B">
      <w:pPr>
        <w:jc w:val="center"/>
        <w:rPr>
          <w:rFonts w:ascii="黑体" w:eastAsia="黑体"/>
          <w:sz w:val="52"/>
          <w:szCs w:val="52"/>
        </w:rPr>
      </w:pPr>
    </w:p>
    <w:p w14:paraId="4AA28807">
      <w:pPr>
        <w:jc w:val="center"/>
        <w:rPr>
          <w:rFonts w:ascii="黑体" w:eastAsia="黑体"/>
          <w:sz w:val="32"/>
          <w:szCs w:val="32"/>
        </w:rPr>
      </w:pPr>
    </w:p>
    <w:p w14:paraId="3F717BC7">
      <w:pPr>
        <w:spacing w:line="500" w:lineRule="exact"/>
        <w:ind w:firstLine="645"/>
        <w:jc w:val="center"/>
        <w:rPr>
          <w:rFonts w:hint="eastAsia" w:ascii="宋体" w:hAnsi="宋体" w:cs="宋体"/>
          <w:b/>
          <w:bCs/>
          <w:kern w:val="0"/>
          <w:sz w:val="44"/>
          <w:szCs w:val="36"/>
        </w:rPr>
        <w:sectPr>
          <w:pgSz w:w="16838" w:h="11906" w:orient="landscape"/>
          <w:pgMar w:top="1134" w:right="1134" w:bottom="1134" w:left="1134" w:header="851" w:footer="992" w:gutter="0"/>
          <w:cols w:space="720" w:num="1"/>
          <w:docGrid w:type="linesAndChars" w:linePitch="312" w:charSpace="0"/>
        </w:sectPr>
      </w:pPr>
    </w:p>
    <w:p w14:paraId="42DA718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42138ED">
      <w:pPr>
        <w:spacing w:line="500" w:lineRule="exact"/>
        <w:ind w:firstLine="645"/>
        <w:jc w:val="center"/>
        <w:rPr>
          <w:rFonts w:hint="eastAsia" w:ascii="宋体" w:hAnsi="宋体" w:cs="宋体"/>
          <w:b/>
          <w:bCs/>
          <w:kern w:val="0"/>
          <w:sz w:val="36"/>
          <w:szCs w:val="36"/>
        </w:rPr>
      </w:pPr>
    </w:p>
    <w:p w14:paraId="5EAE230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0D962B0">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BCC0C7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A165C6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A633C7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708F0A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4C43B1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7B71C47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6F8F3E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B68FE5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5E2B0C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5C1544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B52E3B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3DD79DA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838D0B7">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A89AB80">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CD4D6E6">
      <w:pPr>
        <w:tabs>
          <w:tab w:val="center" w:pos="6979"/>
        </w:tabs>
        <w:spacing w:before="156" w:beforeLines="50" w:after="156" w:afterLines="50"/>
        <w:jc w:val="center"/>
        <w:rPr>
          <w:rFonts w:ascii="宋体" w:hAnsi="宋体" w:cs="宋体"/>
          <w:b/>
          <w:bCs/>
          <w:spacing w:val="40"/>
          <w:kern w:val="0"/>
          <w:sz w:val="32"/>
          <w:szCs w:val="32"/>
        </w:rPr>
      </w:pPr>
    </w:p>
    <w:p w14:paraId="1520033A">
      <w:pPr>
        <w:tabs>
          <w:tab w:val="center" w:pos="6979"/>
        </w:tabs>
        <w:spacing w:before="156" w:beforeLines="50" w:after="156" w:afterLines="50"/>
        <w:jc w:val="center"/>
        <w:rPr>
          <w:rFonts w:ascii="宋体" w:hAnsi="宋体" w:cs="宋体"/>
          <w:b/>
          <w:bCs/>
          <w:spacing w:val="40"/>
          <w:kern w:val="0"/>
          <w:sz w:val="32"/>
          <w:szCs w:val="32"/>
        </w:rPr>
      </w:pPr>
    </w:p>
    <w:p w14:paraId="3B97F10F">
      <w:pPr>
        <w:tabs>
          <w:tab w:val="center" w:pos="6979"/>
        </w:tabs>
        <w:spacing w:before="156" w:beforeLines="50" w:after="156" w:afterLines="50"/>
        <w:jc w:val="center"/>
        <w:rPr>
          <w:rFonts w:ascii="宋体" w:hAnsi="宋体" w:cs="宋体"/>
          <w:b/>
          <w:bCs/>
          <w:spacing w:val="40"/>
          <w:kern w:val="0"/>
          <w:sz w:val="32"/>
          <w:szCs w:val="32"/>
        </w:rPr>
      </w:pPr>
    </w:p>
    <w:p w14:paraId="059E9CAD">
      <w:pPr>
        <w:tabs>
          <w:tab w:val="center" w:pos="6979"/>
        </w:tabs>
        <w:spacing w:before="156" w:beforeLines="50" w:after="156" w:afterLines="50"/>
        <w:jc w:val="center"/>
        <w:rPr>
          <w:rFonts w:ascii="宋体" w:hAnsi="宋体" w:cs="宋体"/>
          <w:b/>
          <w:bCs/>
          <w:spacing w:val="40"/>
          <w:kern w:val="0"/>
          <w:sz w:val="32"/>
          <w:szCs w:val="32"/>
        </w:rPr>
      </w:pPr>
    </w:p>
    <w:p w14:paraId="7F2E4C30">
      <w:pPr>
        <w:tabs>
          <w:tab w:val="center" w:pos="6979"/>
        </w:tabs>
        <w:spacing w:before="156" w:beforeLines="50" w:after="156" w:afterLines="50"/>
        <w:jc w:val="center"/>
        <w:rPr>
          <w:rFonts w:ascii="宋体" w:hAnsi="宋体" w:cs="宋体"/>
          <w:b/>
          <w:bCs/>
          <w:spacing w:val="40"/>
          <w:kern w:val="0"/>
          <w:sz w:val="32"/>
          <w:szCs w:val="32"/>
        </w:rPr>
      </w:pPr>
    </w:p>
    <w:p w14:paraId="1FC8F2B9">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061FAA2">
      <w:pPr>
        <w:pStyle w:val="2"/>
        <w:rPr>
          <w:b w:val="0"/>
          <w:bCs w:val="0"/>
        </w:rPr>
        <w:sectPr>
          <w:footerReference r:id="rId3" w:type="default"/>
          <w:pgSz w:w="16838" w:h="11906" w:orient="landscape"/>
          <w:pgMar w:top="1134" w:right="1134" w:bottom="1134" w:left="1134" w:header="851" w:footer="992" w:gutter="0"/>
          <w:pgNumType w:start="1"/>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A0F3F77">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C5459F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64D76410">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北京市科学技术委员会、中关村科技园区管理委员会综合事务中心根据中共北京市委机构编制委员会《关于市科委、中关村管委会所属事业单位改革有关事项的批复》</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京编委</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2021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66号</w:t>
      </w:r>
      <w:r>
        <w:rPr>
          <w:rFonts w:hint="eastAsia" w:ascii="仿宋_GB2312" w:hAnsi="仿宋_GB2312" w:eastAsia="仿宋_GB2312" w:cs="仿宋_GB2312"/>
          <w:sz w:val="28"/>
          <w:szCs w:val="28"/>
          <w:lang w:eastAsia="zh-CN"/>
        </w:rPr>
        <w:t>），为公益一类</w:t>
      </w:r>
      <w:r>
        <w:rPr>
          <w:rFonts w:hint="eastAsia" w:ascii="仿宋_GB2312" w:hAnsi="仿宋_GB2312" w:eastAsia="仿宋_GB2312" w:cs="仿宋_GB2312"/>
          <w:sz w:val="28"/>
          <w:szCs w:val="28"/>
          <w:lang w:val="en-US" w:eastAsia="zh-CN"/>
        </w:rPr>
        <w:t>事业单位</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主要职责</w:t>
      </w:r>
      <w:r>
        <w:rPr>
          <w:rFonts w:hint="eastAsia" w:ascii="仿宋_GB2312" w:hAnsi="仿宋_GB2312" w:eastAsia="仿宋_GB2312" w:cs="仿宋_GB2312"/>
          <w:sz w:val="28"/>
          <w:szCs w:val="28"/>
          <w:lang w:eastAsia="zh-CN"/>
        </w:rPr>
        <w:t>是</w:t>
      </w:r>
      <w:r>
        <w:rPr>
          <w:rFonts w:hint="eastAsia" w:ascii="仿宋_GB2312" w:hAnsi="仿宋_GB2312" w:eastAsia="仿宋_GB2312" w:cs="仿宋_GB2312"/>
          <w:sz w:val="28"/>
          <w:szCs w:val="28"/>
        </w:rPr>
        <w:t>：承担机关综合服务、信息公开、电子政务、安全应急、离退休干部服务等事务性工作。</w:t>
      </w:r>
    </w:p>
    <w:p w14:paraId="2AB23FD3">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eastAsia="仿宋_GB2312"/>
          <w:sz w:val="28"/>
          <w:szCs w:val="28"/>
        </w:rPr>
      </w:pPr>
      <w:r>
        <w:rPr>
          <w:rFonts w:hint="eastAsia" w:ascii="仿宋_GB2312" w:hAnsi="仿宋_GB2312" w:eastAsia="仿宋_GB2312" w:cs="仿宋_GB2312"/>
          <w:sz w:val="28"/>
          <w:szCs w:val="28"/>
        </w:rPr>
        <w:t>本单位内设部门分别</w:t>
      </w:r>
      <w:r>
        <w:rPr>
          <w:rFonts w:hint="eastAsia" w:ascii="仿宋_GB2312" w:hAnsi="仿宋_GB2312" w:eastAsia="仿宋_GB2312" w:cs="仿宋_GB2312"/>
          <w:sz w:val="28"/>
          <w:szCs w:val="28"/>
          <w:lang w:eastAsia="zh-CN"/>
        </w:rPr>
        <w:t>是</w:t>
      </w:r>
      <w:r>
        <w:rPr>
          <w:rFonts w:hint="eastAsia" w:ascii="仿宋_GB2312" w:hAnsi="仿宋_GB2312" w:eastAsia="仿宋_GB2312" w:cs="仿宋_GB2312"/>
          <w:sz w:val="28"/>
          <w:szCs w:val="28"/>
        </w:rPr>
        <w:t>综合管理部、政务服务部、电子政务部、信息服务部、安全运维部、档案事务部、政务大厅工作部和老干部服务部。</w:t>
      </w:r>
    </w:p>
    <w:p w14:paraId="0737F42F">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14:paraId="4A42250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7000.26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62.47</w:t>
      </w:r>
      <w:r>
        <w:rPr>
          <w:rFonts w:hint="eastAsia" w:ascii="仿宋_GB2312" w:eastAsia="仿宋_GB2312"/>
          <w:sz w:val="28"/>
          <w:szCs w:val="28"/>
        </w:rPr>
        <w:t>万元，增长</w:t>
      </w:r>
      <w:r>
        <w:rPr>
          <w:rFonts w:hint="eastAsia" w:ascii="仿宋_GB2312" w:eastAsia="仿宋_GB2312"/>
          <w:sz w:val="28"/>
          <w:szCs w:val="28"/>
          <w:lang w:val="en-US" w:eastAsia="zh-CN"/>
        </w:rPr>
        <w:t>0.9</w:t>
      </w:r>
      <w:r>
        <w:rPr>
          <w:rFonts w:hint="eastAsia" w:ascii="仿宋_GB2312" w:eastAsia="仿宋_GB2312"/>
          <w:sz w:val="28"/>
          <w:szCs w:val="28"/>
        </w:rPr>
        <w:t>%。</w:t>
      </w:r>
    </w:p>
    <w:p w14:paraId="7A209359">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9DCD62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7000.26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354.38</w:t>
      </w:r>
      <w:r>
        <w:rPr>
          <w:rFonts w:hint="eastAsia" w:ascii="仿宋_GB2312" w:eastAsia="仿宋_GB2312"/>
          <w:sz w:val="28"/>
          <w:szCs w:val="28"/>
        </w:rPr>
        <w:t>万元，增长</w:t>
      </w:r>
      <w:r>
        <w:rPr>
          <w:rFonts w:hint="eastAsia" w:ascii="仿宋_GB2312" w:eastAsia="仿宋_GB2312"/>
          <w:sz w:val="28"/>
          <w:szCs w:val="28"/>
          <w:lang w:val="en-US" w:eastAsia="zh-CN"/>
        </w:rPr>
        <w:t>5.33</w:t>
      </w:r>
      <w:r>
        <w:rPr>
          <w:rFonts w:hint="eastAsia" w:ascii="仿宋_GB2312" w:eastAsia="仿宋_GB2312"/>
          <w:sz w:val="28"/>
          <w:szCs w:val="28"/>
        </w:rPr>
        <w:t>%</w:t>
      </w:r>
      <w:r>
        <w:rPr>
          <w:rFonts w:hint="eastAsia" w:ascii="仿宋_GB2312" w:eastAsia="仿宋_GB2312"/>
          <w:sz w:val="28"/>
          <w:szCs w:val="28"/>
          <w:lang w:eastAsia="zh-CN"/>
        </w:rPr>
        <w:t>。</w:t>
      </w:r>
    </w:p>
    <w:p w14:paraId="5EDEF3A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7000.26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7000.26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93D6C65">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1F3996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F05499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DA5F31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0B7466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5B647F9">
      <w:pPr>
        <w:pStyle w:val="2"/>
        <w:ind w:firstLine="0"/>
        <w:jc w:val="center"/>
      </w:pPr>
      <w:r>
        <w:rPr>
          <w:rFonts w:hint="eastAsia" w:ascii="仿宋_GB2312" w:eastAsia="仿宋_GB2312"/>
          <w:color w:val="000000"/>
          <w:sz w:val="32"/>
          <w:szCs w:val="32"/>
          <w:highlight w:val="none"/>
          <w:lang w:val="en-US" w:eastAsia="zh-CN"/>
        </w:rPr>
        <w:t>图1：收入决算</w:t>
      </w:r>
    </w:p>
    <w:p w14:paraId="7F520159">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20C99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A17010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6385.52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179.18</w:t>
      </w:r>
      <w:r>
        <w:rPr>
          <w:rFonts w:hint="eastAsia" w:ascii="仿宋_GB2312" w:eastAsia="仿宋_GB2312"/>
          <w:sz w:val="28"/>
          <w:szCs w:val="28"/>
        </w:rPr>
        <w:t>万元，下降</w:t>
      </w:r>
      <w:r>
        <w:rPr>
          <w:rFonts w:hint="eastAsia" w:ascii="仿宋_GB2312" w:eastAsia="仿宋_GB2312"/>
          <w:sz w:val="28"/>
          <w:szCs w:val="28"/>
          <w:lang w:val="en-US" w:eastAsia="zh-CN"/>
        </w:rPr>
        <w:t>2.73</w:t>
      </w:r>
      <w:r>
        <w:rPr>
          <w:rFonts w:hint="eastAsia" w:ascii="仿宋_GB2312" w:eastAsia="仿宋_GB2312"/>
          <w:sz w:val="28"/>
          <w:szCs w:val="28"/>
        </w:rPr>
        <w:t>%，其中：基本支出</w:t>
      </w:r>
      <w:r>
        <w:rPr>
          <w:rFonts w:ascii="仿宋_GB2312" w:eastAsia="仿宋_GB2312"/>
          <w:sz w:val="28"/>
          <w:szCs w:val="28"/>
        </w:rPr>
        <w:t>1762.41</w:t>
      </w:r>
      <w:r>
        <w:rPr>
          <w:rFonts w:hint="eastAsia" w:ascii="仿宋_GB2312" w:eastAsia="仿宋_GB2312"/>
          <w:sz w:val="28"/>
          <w:szCs w:val="28"/>
        </w:rPr>
        <w:t>万元，占支出合计的</w:t>
      </w:r>
      <w:r>
        <w:rPr>
          <w:rFonts w:hint="eastAsia" w:ascii="仿宋_GB2312" w:eastAsia="仿宋_GB2312"/>
          <w:sz w:val="28"/>
          <w:szCs w:val="28"/>
          <w:lang w:eastAsia="zh-CN"/>
        </w:rPr>
        <w:t>27.6</w:t>
      </w:r>
      <w:r>
        <w:rPr>
          <w:rFonts w:hint="eastAsia" w:ascii="仿宋_GB2312" w:eastAsia="仿宋_GB2312"/>
          <w:sz w:val="28"/>
          <w:szCs w:val="28"/>
        </w:rPr>
        <w:t>%；项目支出</w:t>
      </w:r>
      <w:r>
        <w:rPr>
          <w:rFonts w:ascii="仿宋_GB2312" w:eastAsia="仿宋_GB2312"/>
          <w:sz w:val="28"/>
          <w:szCs w:val="28"/>
        </w:rPr>
        <w:t>4623.11</w:t>
      </w:r>
      <w:r>
        <w:rPr>
          <w:rFonts w:hint="eastAsia" w:ascii="仿宋_GB2312" w:eastAsia="仿宋_GB2312"/>
          <w:sz w:val="28"/>
          <w:szCs w:val="28"/>
        </w:rPr>
        <w:t>万元，占支出合计的</w:t>
      </w:r>
      <w:r>
        <w:rPr>
          <w:rFonts w:hint="eastAsia" w:ascii="仿宋_GB2312" w:eastAsia="仿宋_GB2312"/>
          <w:sz w:val="28"/>
          <w:szCs w:val="28"/>
          <w:lang w:eastAsia="zh-CN"/>
        </w:rPr>
        <w:t>72.4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5FCAB0EC">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33119B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E2791C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ABDD81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7000.26</w:t>
      </w:r>
      <w:r>
        <w:rPr>
          <w:rFonts w:hint="eastAsia" w:ascii="仿宋_GB2312" w:eastAsia="仿宋_GB2312"/>
          <w:sz w:val="28"/>
          <w:szCs w:val="28"/>
        </w:rPr>
        <w:t>万元，比上年</w:t>
      </w:r>
      <w:r>
        <w:rPr>
          <w:rFonts w:hint="eastAsia" w:ascii="仿宋_GB2312" w:eastAsia="仿宋_GB2312"/>
          <w:sz w:val="28"/>
          <w:szCs w:val="28"/>
          <w:lang w:val="en-US" w:eastAsia="zh-CN"/>
        </w:rPr>
        <w:t>增加78.99</w:t>
      </w:r>
      <w:r>
        <w:rPr>
          <w:rFonts w:hint="eastAsia" w:ascii="仿宋_GB2312" w:eastAsia="仿宋_GB2312"/>
          <w:sz w:val="28"/>
          <w:szCs w:val="28"/>
        </w:rPr>
        <w:t>万元，</w:t>
      </w:r>
      <w:r>
        <w:rPr>
          <w:rFonts w:hint="eastAsia" w:ascii="仿宋_GB2312" w:eastAsia="仿宋_GB2312"/>
          <w:sz w:val="28"/>
          <w:szCs w:val="28"/>
          <w:lang w:val="en-US" w:eastAsia="zh-CN"/>
        </w:rPr>
        <w:t>增加1.14</w:t>
      </w:r>
      <w:r>
        <w:rPr>
          <w:rFonts w:hint="eastAsia" w:ascii="仿宋_GB2312" w:eastAsia="仿宋_GB2312"/>
          <w:sz w:val="28"/>
          <w:szCs w:val="28"/>
        </w:rPr>
        <w:t>%。与上年基本持平。</w:t>
      </w:r>
    </w:p>
    <w:p w14:paraId="4547E36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5D62E9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6C28FD4">
      <w:pPr>
        <w:tabs>
          <w:tab w:val="center" w:pos="6979"/>
        </w:tabs>
        <w:spacing w:line="580" w:lineRule="exact"/>
        <w:ind w:firstLine="560" w:firstLineChars="200"/>
        <w:rPr>
          <w:rFonts w:hint="eastAsia" w:ascii="仿宋_GB2312" w:eastAsia="仿宋_GB2312"/>
          <w:sz w:val="28"/>
          <w:szCs w:val="28"/>
        </w:rPr>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6385.52</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教育支出0.44万元，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0.01</w:t>
      </w:r>
      <w:r>
        <w:rPr>
          <w:rFonts w:hint="eastAsia" w:ascii="仿宋_GB2312" w:eastAsia="仿宋_GB2312"/>
          <w:sz w:val="28"/>
          <w:szCs w:val="28"/>
        </w:rPr>
        <w:t>%。</w:t>
      </w:r>
      <w:r>
        <w:rPr>
          <w:rFonts w:hint="eastAsia" w:ascii="仿宋_GB2312" w:hAnsi="仿宋_GB2312" w:eastAsia="仿宋_GB2312" w:cs="仿宋_GB2312"/>
          <w:sz w:val="28"/>
          <w:szCs w:val="28"/>
        </w:rPr>
        <w:t>科学技术支出6</w:t>
      </w:r>
      <w:r>
        <w:rPr>
          <w:rFonts w:hint="eastAsia" w:ascii="仿宋_GB2312" w:hAnsi="仿宋_GB2312" w:eastAsia="仿宋_GB2312" w:cs="仿宋_GB2312"/>
          <w:sz w:val="28"/>
          <w:szCs w:val="28"/>
          <w:lang w:val="en-US" w:eastAsia="zh-CN"/>
        </w:rPr>
        <w:t>213.79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97.31</w:t>
      </w:r>
      <w:r>
        <w:rPr>
          <w:rFonts w:hint="eastAsia" w:ascii="仿宋_GB2312" w:eastAsia="仿宋_GB2312"/>
          <w:sz w:val="28"/>
          <w:szCs w:val="28"/>
        </w:rPr>
        <w:t>%；社会保障和就业支出</w:t>
      </w:r>
      <w:r>
        <w:rPr>
          <w:rFonts w:hint="eastAsia" w:ascii="仿宋_GB2312" w:eastAsia="仿宋_GB2312"/>
          <w:sz w:val="28"/>
          <w:szCs w:val="28"/>
          <w:lang w:val="en-US" w:eastAsia="zh-CN"/>
        </w:rPr>
        <w:t>171.29</w:t>
      </w:r>
      <w:r>
        <w:rPr>
          <w:rFonts w:hint="eastAsia" w:ascii="仿宋_GB2312" w:eastAsia="仿宋_GB2312"/>
          <w:sz w:val="28"/>
          <w:szCs w:val="28"/>
        </w:rPr>
        <w:t>万元，</w:t>
      </w:r>
    </w:p>
    <w:p w14:paraId="1A6A2D7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占本年财政拨款支出</w:t>
      </w:r>
      <w:r>
        <w:rPr>
          <w:rFonts w:hint="eastAsia" w:ascii="仿宋_GB2312" w:eastAsia="仿宋_GB2312"/>
          <w:sz w:val="28"/>
          <w:szCs w:val="28"/>
          <w:lang w:val="en-US" w:eastAsia="zh-CN"/>
        </w:rPr>
        <w:t>2.68</w:t>
      </w:r>
      <w:r>
        <w:rPr>
          <w:rFonts w:hint="eastAsia" w:ascii="仿宋_GB2312" w:eastAsia="仿宋_GB2312"/>
          <w:sz w:val="28"/>
          <w:szCs w:val="28"/>
        </w:rPr>
        <w:t>%。</w:t>
      </w:r>
    </w:p>
    <w:p w14:paraId="778442D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A087A94">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15.6</w:t>
      </w:r>
      <w:r>
        <w:rPr>
          <w:rFonts w:hint="eastAsia" w:ascii="仿宋_GB2312" w:eastAsia="仿宋_GB2312"/>
          <w:sz w:val="28"/>
          <w:szCs w:val="28"/>
        </w:rPr>
        <w:t>%。</w:t>
      </w:r>
      <w:r>
        <w:rPr>
          <w:rFonts w:hint="eastAsia" w:ascii="仿宋_GB2312" w:eastAsia="仿宋_GB2312"/>
          <w:sz w:val="28"/>
          <w:szCs w:val="28"/>
          <w:lang w:val="en-US" w:eastAsia="zh-CN"/>
        </w:rPr>
        <w:t>其中：“</w:t>
      </w:r>
      <w:r>
        <w:rPr>
          <w:rFonts w:hint="eastAsia" w:ascii="仿宋_GB2312" w:eastAsia="仿宋_GB2312"/>
          <w:sz w:val="28"/>
          <w:szCs w:val="28"/>
        </w:rPr>
        <w:t>进修及培训</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15.6</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rPr>
        <w:t>落实政府“过紧日子”要求，厉行勤俭节约，严格控制相关经费支出</w:t>
      </w:r>
      <w:r>
        <w:rPr>
          <w:rFonts w:hint="eastAsia" w:ascii="仿宋_GB2312" w:eastAsia="仿宋_GB2312"/>
          <w:sz w:val="28"/>
          <w:szCs w:val="28"/>
          <w:lang w:eastAsia="zh-CN"/>
        </w:rPr>
        <w:t>。</w:t>
      </w:r>
    </w:p>
    <w:p w14:paraId="7DA0757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hAnsi="仿宋_GB2312" w:eastAsia="仿宋_GB2312" w:cs="仿宋_GB2312"/>
          <w:sz w:val="28"/>
          <w:szCs w:val="28"/>
        </w:rPr>
        <w:t>科学技术支出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6636.74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6213.79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93.63</w:t>
      </w:r>
      <w:r>
        <w:rPr>
          <w:rFonts w:hint="eastAsia" w:ascii="仿宋_GB2312" w:eastAsia="仿宋_GB2312"/>
          <w:sz w:val="28"/>
          <w:szCs w:val="28"/>
        </w:rPr>
        <w:t>%。其中：</w:t>
      </w:r>
    </w:p>
    <w:p w14:paraId="1435C2F0">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“科学技术管理事务”202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674.43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707.03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104.83</w:t>
      </w:r>
      <w:r>
        <w:rPr>
          <w:rFonts w:hint="eastAsia" w:ascii="仿宋_GB2312" w:eastAsia="仿宋_GB2312"/>
          <w:sz w:val="28"/>
          <w:szCs w:val="28"/>
        </w:rPr>
        <w:t>%。主要原因：</w:t>
      </w:r>
      <w:r>
        <w:rPr>
          <w:rFonts w:hint="eastAsia" w:ascii="仿宋_GB2312" w:eastAsia="仿宋_GB2312"/>
          <w:sz w:val="28"/>
          <w:szCs w:val="28"/>
          <w:highlight w:val="none"/>
        </w:rPr>
        <w:t>根据工作安排，</w:t>
      </w:r>
      <w:r>
        <w:rPr>
          <w:rFonts w:hint="eastAsia" w:ascii="仿宋_GB2312" w:eastAsia="仿宋_GB2312"/>
          <w:sz w:val="28"/>
          <w:szCs w:val="28"/>
          <w:highlight w:val="none"/>
          <w:lang w:val="en-US" w:eastAsia="zh-CN"/>
        </w:rPr>
        <w:t>年中追加档案管理</w:t>
      </w:r>
      <w:bookmarkStart w:id="0" w:name="_GoBack"/>
      <w:bookmarkEnd w:id="0"/>
      <w:r>
        <w:rPr>
          <w:rFonts w:hint="eastAsia" w:ascii="仿宋_GB2312" w:eastAsia="仿宋_GB2312"/>
          <w:sz w:val="28"/>
          <w:szCs w:val="28"/>
          <w:highlight w:val="none"/>
          <w:lang w:val="en-US" w:eastAsia="zh-CN"/>
        </w:rPr>
        <w:t>工作方面的经费支出</w:t>
      </w:r>
      <w:r>
        <w:rPr>
          <w:rFonts w:hint="eastAsia" w:ascii="仿宋_GB2312" w:eastAsia="仿宋_GB2312"/>
          <w:sz w:val="28"/>
          <w:szCs w:val="28"/>
          <w:highlight w:val="none"/>
        </w:rPr>
        <w:t>。</w:t>
      </w:r>
    </w:p>
    <w:p w14:paraId="26B9D69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“应用研究”202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1912.55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年度决算15</w:t>
      </w:r>
      <w:r>
        <w:rPr>
          <w:rFonts w:hint="eastAsia" w:ascii="仿宋_GB2312" w:eastAsia="仿宋_GB2312"/>
          <w:sz w:val="28"/>
          <w:szCs w:val="28"/>
          <w:lang w:val="en-US" w:eastAsia="zh-CN"/>
        </w:rPr>
        <w:t>90.68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83.17</w:t>
      </w:r>
      <w:r>
        <w:rPr>
          <w:rFonts w:hint="eastAsia" w:ascii="仿宋_GB2312" w:eastAsia="仿宋_GB2312"/>
          <w:sz w:val="28"/>
          <w:szCs w:val="28"/>
        </w:rPr>
        <w:t>%。主要原因：</w:t>
      </w:r>
      <w:r>
        <w:rPr>
          <w:rFonts w:hint="eastAsia" w:ascii="仿宋_GB2312" w:eastAsia="仿宋_GB2312"/>
          <w:sz w:val="28"/>
          <w:szCs w:val="28"/>
          <w:highlight w:val="none"/>
        </w:rPr>
        <w:t>根据工作安排，</w:t>
      </w:r>
      <w:r>
        <w:rPr>
          <w:rFonts w:hint="eastAsia" w:ascii="仿宋_GB2312" w:eastAsia="仿宋_GB2312"/>
          <w:sz w:val="28"/>
          <w:szCs w:val="28"/>
        </w:rPr>
        <w:t>配套保障需求相应调整，优化经费使用安排，</w:t>
      </w:r>
      <w:r>
        <w:rPr>
          <w:rFonts w:hint="eastAsia" w:ascii="仿宋_GB2312" w:eastAsia="仿宋_GB2312"/>
          <w:sz w:val="28"/>
          <w:szCs w:val="28"/>
          <w:highlight w:val="none"/>
        </w:rPr>
        <w:t>减少相关经费支出。</w:t>
      </w:r>
    </w:p>
    <w:p w14:paraId="25191715">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rPr>
        <w:t>“科技条件与服务”202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4049.76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3916.08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96.7</w:t>
      </w:r>
      <w:r>
        <w:rPr>
          <w:rFonts w:hint="eastAsia" w:ascii="仿宋_GB2312" w:eastAsia="仿宋_GB2312"/>
          <w:sz w:val="28"/>
          <w:szCs w:val="28"/>
        </w:rPr>
        <w:t>%。主要原因：</w:t>
      </w:r>
      <w:r>
        <w:rPr>
          <w:rFonts w:hint="eastAsia" w:ascii="仿宋_GB2312" w:eastAsia="仿宋_GB2312"/>
          <w:sz w:val="28"/>
          <w:szCs w:val="28"/>
          <w:highlight w:val="none"/>
        </w:rPr>
        <w:t>根据工作安排，</w:t>
      </w:r>
      <w:r>
        <w:rPr>
          <w:rFonts w:hint="eastAsia" w:ascii="仿宋_GB2312" w:eastAsia="仿宋_GB2312"/>
          <w:sz w:val="28"/>
          <w:szCs w:val="28"/>
          <w:highlight w:val="none"/>
          <w:lang w:val="en-US" w:eastAsia="zh-CN"/>
        </w:rPr>
        <w:t>本年度减少数据汇聚与资源购置等方面的经费支出</w:t>
      </w:r>
      <w:r>
        <w:rPr>
          <w:rFonts w:hint="eastAsia" w:ascii="仿宋_GB2312" w:eastAsia="仿宋_GB2312"/>
          <w:sz w:val="28"/>
          <w:szCs w:val="28"/>
          <w:highlight w:val="none"/>
          <w:lang w:eastAsia="zh-CN"/>
        </w:rPr>
        <w:t>。</w:t>
      </w:r>
    </w:p>
    <w:p w14:paraId="521D59D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172.04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w:t>
      </w:r>
      <w:r>
        <w:rPr>
          <w:rFonts w:hint="eastAsia" w:ascii="仿宋_GB2312" w:eastAsia="仿宋_GB2312"/>
          <w:sz w:val="28"/>
          <w:szCs w:val="28"/>
          <w:lang w:val="en-US" w:eastAsia="zh-CN"/>
        </w:rPr>
        <w:t>71.29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99.56</w:t>
      </w:r>
      <w:r>
        <w:rPr>
          <w:rFonts w:hint="eastAsia" w:ascii="仿宋_GB2312" w:eastAsia="仿宋_GB2312"/>
          <w:sz w:val="28"/>
          <w:szCs w:val="28"/>
        </w:rPr>
        <w:t>%。其中：</w:t>
      </w:r>
    </w:p>
    <w:p w14:paraId="1AF57B01">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172.04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w:t>
      </w:r>
      <w:r>
        <w:rPr>
          <w:rFonts w:hint="eastAsia" w:ascii="仿宋_GB2312" w:eastAsia="仿宋_GB2312"/>
          <w:sz w:val="28"/>
          <w:szCs w:val="28"/>
          <w:lang w:val="en-US" w:eastAsia="zh-CN"/>
        </w:rPr>
        <w:t>71.29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99.56</w:t>
      </w:r>
      <w:r>
        <w:rPr>
          <w:rFonts w:hint="eastAsia" w:ascii="仿宋_GB2312" w:eastAsia="仿宋_GB2312"/>
          <w:sz w:val="28"/>
          <w:szCs w:val="28"/>
        </w:rPr>
        <w:t>%。主要原因</w:t>
      </w:r>
      <w:r>
        <w:rPr>
          <w:rFonts w:hint="eastAsia" w:ascii="仿宋_GB2312" w:eastAsia="仿宋_GB2312"/>
          <w:sz w:val="28"/>
          <w:szCs w:val="28"/>
          <w:highlight w:val="none"/>
        </w:rPr>
        <w:t>：按照实际缴费情况缴纳职工基本养老保险和职业年金</w:t>
      </w:r>
      <w:r>
        <w:rPr>
          <w:rFonts w:hint="eastAsia" w:ascii="仿宋_GB2312" w:eastAsia="仿宋_GB2312"/>
          <w:sz w:val="28"/>
          <w:szCs w:val="28"/>
        </w:rPr>
        <w:t>。</w:t>
      </w:r>
    </w:p>
    <w:p w14:paraId="3D08E6F4">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867C5B4">
      <w:pPr>
        <w:spacing w:line="580" w:lineRule="exact"/>
        <w:ind w:firstLine="560" w:firstLineChars="200"/>
        <w:rPr>
          <w:rFonts w:ascii="仿宋_GB2312" w:eastAsia="仿宋_GB2312"/>
          <w:sz w:val="28"/>
          <w:szCs w:val="28"/>
        </w:rPr>
      </w:pPr>
      <w:r>
        <w:rPr>
          <w:rFonts w:hint="eastAsia" w:ascii="仿宋_GB2312" w:hAnsi="仿宋_GB2312" w:eastAsia="仿宋_GB2312" w:cs="仿宋_GB2312"/>
          <w:sz w:val="28"/>
          <w:szCs w:val="28"/>
        </w:rPr>
        <w:t>本</w:t>
      </w:r>
      <w:r>
        <w:rPr>
          <w:rFonts w:hint="eastAsia" w:ascii="仿宋_GB2312" w:hAnsi="仿宋_GB2312" w:eastAsia="仿宋_GB2312" w:cs="仿宋_GB2312"/>
          <w:sz w:val="28"/>
          <w:szCs w:val="28"/>
          <w:lang w:val="en-US" w:eastAsia="zh-CN"/>
        </w:rPr>
        <w:t>单位无此项经费</w:t>
      </w:r>
      <w:r>
        <w:rPr>
          <w:rFonts w:hint="eastAsia" w:ascii="仿宋_GB2312" w:eastAsia="仿宋_GB2312"/>
          <w:sz w:val="28"/>
          <w:szCs w:val="28"/>
        </w:rPr>
        <w:t>。</w:t>
      </w:r>
    </w:p>
    <w:p w14:paraId="42EF580A">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36D1911">
      <w:pPr>
        <w:ind w:firstLine="537" w:firstLineChars="192"/>
        <w:rPr>
          <w:rFonts w:ascii="仿宋_GB2312" w:eastAsia="仿宋_GB2312"/>
          <w:sz w:val="28"/>
          <w:szCs w:val="28"/>
        </w:rPr>
      </w:pPr>
      <w:r>
        <w:rPr>
          <w:rFonts w:hint="eastAsia" w:ascii="仿宋_GB2312" w:hAnsi="仿宋_GB2312" w:eastAsia="仿宋_GB2312" w:cs="仿宋_GB2312"/>
          <w:sz w:val="28"/>
          <w:szCs w:val="28"/>
        </w:rPr>
        <w:t>本</w:t>
      </w:r>
      <w:r>
        <w:rPr>
          <w:rFonts w:hint="eastAsia" w:ascii="仿宋_GB2312" w:hAnsi="仿宋_GB2312" w:eastAsia="仿宋_GB2312" w:cs="仿宋_GB2312"/>
          <w:sz w:val="28"/>
          <w:szCs w:val="28"/>
          <w:lang w:val="en-US" w:eastAsia="zh-CN"/>
        </w:rPr>
        <w:t>单位无此项经费</w:t>
      </w:r>
      <w:r>
        <w:rPr>
          <w:rFonts w:hint="eastAsia" w:ascii="仿宋_GB2312" w:eastAsia="仿宋_GB2312"/>
          <w:sz w:val="28"/>
          <w:szCs w:val="28"/>
        </w:rPr>
        <w:t>。</w:t>
      </w:r>
    </w:p>
    <w:p w14:paraId="5CD64317">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24A0189">
      <w:pPr>
        <w:tabs>
          <w:tab w:val="center" w:pos="6979"/>
        </w:tabs>
        <w:spacing w:line="580" w:lineRule="exact"/>
        <w:ind w:firstLine="548" w:firstLineChars="196"/>
        <w:rPr>
          <w:rFonts w:hint="eastAsia" w:ascii="宋体" w:hAnsi="宋体" w:cs="宋体"/>
          <w:b/>
          <w:bCs/>
          <w:spacing w:val="40"/>
          <w:kern w:val="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1762.41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3596E86">
      <w:pPr>
        <w:tabs>
          <w:tab w:val="center" w:pos="6979"/>
        </w:tabs>
        <w:jc w:val="center"/>
        <w:rPr>
          <w:rFonts w:hint="eastAsia" w:ascii="宋体" w:hAnsi="宋体" w:cs="宋体"/>
          <w:b/>
          <w:bCs/>
          <w:spacing w:val="40"/>
          <w:kern w:val="0"/>
          <w:sz w:val="32"/>
          <w:szCs w:val="32"/>
        </w:rPr>
      </w:pPr>
    </w:p>
    <w:p w14:paraId="38C79F3C">
      <w:pPr>
        <w:tabs>
          <w:tab w:val="center" w:pos="6979"/>
        </w:tabs>
        <w:jc w:val="center"/>
        <w:rPr>
          <w:rFonts w:hint="eastAsia" w:ascii="宋体" w:hAnsi="宋体" w:cs="宋体"/>
          <w:b/>
          <w:bCs/>
          <w:spacing w:val="40"/>
          <w:kern w:val="0"/>
          <w:sz w:val="32"/>
          <w:szCs w:val="32"/>
        </w:rPr>
      </w:pPr>
    </w:p>
    <w:p w14:paraId="34FADC2C">
      <w:pPr>
        <w:tabs>
          <w:tab w:val="center" w:pos="6979"/>
        </w:tabs>
        <w:jc w:val="center"/>
        <w:rPr>
          <w:rFonts w:hint="eastAsia" w:ascii="宋体" w:hAnsi="宋体" w:cs="宋体"/>
          <w:b/>
          <w:bCs/>
          <w:spacing w:val="40"/>
          <w:kern w:val="0"/>
          <w:sz w:val="32"/>
          <w:szCs w:val="32"/>
        </w:rPr>
      </w:pPr>
    </w:p>
    <w:p w14:paraId="58C3E887">
      <w:pPr>
        <w:tabs>
          <w:tab w:val="center" w:pos="6979"/>
        </w:tabs>
        <w:jc w:val="center"/>
        <w:rPr>
          <w:rFonts w:hint="eastAsia" w:ascii="宋体" w:hAnsi="宋体" w:cs="宋体"/>
          <w:b/>
          <w:bCs/>
          <w:spacing w:val="40"/>
          <w:kern w:val="0"/>
          <w:sz w:val="32"/>
          <w:szCs w:val="32"/>
        </w:rPr>
      </w:pPr>
    </w:p>
    <w:p w14:paraId="039EB763">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9BE68B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1148D4CE">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2.84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7.01</w:t>
      </w:r>
      <w:r>
        <w:rPr>
          <w:rFonts w:hint="eastAsia" w:ascii="仿宋_GB2312" w:eastAsia="仿宋_GB2312"/>
          <w:sz w:val="28"/>
          <w:szCs w:val="28"/>
        </w:rPr>
        <w:t>万元减少</w:t>
      </w:r>
      <w:r>
        <w:rPr>
          <w:rFonts w:ascii="仿宋_GB2312" w:eastAsia="仿宋_GB2312"/>
          <w:sz w:val="28"/>
          <w:szCs w:val="28"/>
        </w:rPr>
        <w:t>4.17</w:t>
      </w:r>
      <w:r>
        <w:rPr>
          <w:rFonts w:hint="eastAsia" w:ascii="仿宋_GB2312" w:eastAsia="仿宋_GB2312"/>
          <w:sz w:val="28"/>
          <w:szCs w:val="28"/>
        </w:rPr>
        <w:t>万元。其中：</w:t>
      </w:r>
    </w:p>
    <w:p w14:paraId="5DCDBE8B">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w:t>
      </w:r>
      <w:r>
        <w:rPr>
          <w:rFonts w:hint="eastAsia" w:ascii="仿宋_GB2312" w:eastAsia="仿宋_GB2312"/>
          <w:sz w:val="28"/>
          <w:szCs w:val="28"/>
          <w:lang w:val="en-US" w:eastAsia="zh-CN"/>
        </w:rPr>
        <w:t>单位</w:t>
      </w:r>
      <w:r>
        <w:rPr>
          <w:rFonts w:hint="eastAsia" w:ascii="仿宋_GB2312" w:eastAsia="仿宋_GB2312"/>
          <w:sz w:val="28"/>
          <w:szCs w:val="28"/>
        </w:rPr>
        <w:t>无此项支出。</w:t>
      </w:r>
    </w:p>
    <w:p w14:paraId="55FC20D3">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0.76</w:t>
      </w:r>
      <w:r>
        <w:rPr>
          <w:rFonts w:hint="eastAsia" w:ascii="仿宋_GB2312" w:eastAsia="仿宋_GB2312"/>
          <w:sz w:val="28"/>
          <w:szCs w:val="28"/>
        </w:rPr>
        <w:t>万元减少</w:t>
      </w:r>
      <w:r>
        <w:rPr>
          <w:rFonts w:ascii="仿宋_GB2312" w:eastAsia="仿宋_GB2312"/>
          <w:sz w:val="28"/>
          <w:szCs w:val="28"/>
        </w:rPr>
        <w:t>0.76</w:t>
      </w:r>
      <w:r>
        <w:rPr>
          <w:rFonts w:hint="eastAsia" w:ascii="仿宋_GB2312" w:eastAsia="仿宋_GB2312"/>
          <w:sz w:val="28"/>
          <w:szCs w:val="28"/>
        </w:rPr>
        <w:t>万元。主要原因：</w:t>
      </w:r>
      <w:r>
        <w:rPr>
          <w:rFonts w:hint="eastAsia" w:ascii="仿宋_GB2312" w:eastAsia="仿宋_GB2312"/>
          <w:sz w:val="28"/>
          <w:szCs w:val="28"/>
          <w:lang w:val="en-US" w:eastAsia="zh-CN"/>
        </w:rPr>
        <w:t>本年度未发生公务接待费用</w:t>
      </w:r>
      <w:r>
        <w:rPr>
          <w:rFonts w:hint="eastAsia" w:ascii="仿宋_GB2312" w:eastAsia="仿宋_GB2312"/>
          <w:sz w:val="28"/>
          <w:szCs w:val="28"/>
        </w:rPr>
        <w:t>。</w:t>
      </w:r>
    </w:p>
    <w:p w14:paraId="3E65E425">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2.84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6.25</w:t>
      </w:r>
      <w:r>
        <w:rPr>
          <w:rFonts w:hint="eastAsia" w:ascii="仿宋_GB2312" w:eastAsia="仿宋_GB2312"/>
          <w:sz w:val="28"/>
          <w:szCs w:val="28"/>
        </w:rPr>
        <w:t>万元减少</w:t>
      </w:r>
      <w:r>
        <w:rPr>
          <w:rFonts w:ascii="仿宋_GB2312" w:eastAsia="仿宋_GB2312"/>
          <w:sz w:val="28"/>
          <w:szCs w:val="28"/>
        </w:rPr>
        <w:t>3.4</w:t>
      </w:r>
      <w:r>
        <w:rPr>
          <w:rFonts w:hint="eastAsia" w:ascii="仿宋_GB2312" w:eastAsia="仿宋_GB2312"/>
          <w:sz w:val="28"/>
          <w:szCs w:val="28"/>
          <w:lang w:val="en-US" w:eastAsia="zh-CN"/>
        </w:rPr>
        <w:t>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2.84</w:t>
      </w:r>
      <w:r>
        <w:rPr>
          <w:rFonts w:hint="eastAsia" w:ascii="仿宋_GB2312" w:eastAsia="仿宋_GB2312"/>
          <w:sz w:val="28"/>
          <w:szCs w:val="28"/>
        </w:rPr>
        <w:t>万元，主要原因：</w:t>
      </w:r>
      <w:r>
        <w:rPr>
          <w:rFonts w:hint="eastAsia" w:ascii="仿宋_GB2312" w:eastAsia="仿宋_GB2312"/>
          <w:sz w:val="28"/>
          <w:szCs w:val="28"/>
          <w:highlight w:val="none"/>
        </w:rPr>
        <w:t>落实政府“过紧日子”要求，厉行勤俭节约，严格控制相关经费支出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14:paraId="4F88AAC4">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21D09DA">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我</w:t>
      </w:r>
      <w:r>
        <w:rPr>
          <w:rFonts w:hint="eastAsia" w:ascii="仿宋_GB2312" w:eastAsia="仿宋_GB2312"/>
          <w:sz w:val="28"/>
          <w:szCs w:val="28"/>
        </w:rPr>
        <w:t>单位不在机关运行经费统计范围之内。</w:t>
      </w:r>
    </w:p>
    <w:p w14:paraId="330930CF">
      <w:pPr>
        <w:ind w:left="540"/>
        <w:rPr>
          <w:rFonts w:hint="eastAsia" w:ascii="黑体" w:eastAsia="黑体"/>
          <w:sz w:val="28"/>
          <w:szCs w:val="28"/>
        </w:rPr>
      </w:pPr>
      <w:r>
        <w:rPr>
          <w:rFonts w:hint="eastAsia" w:ascii="黑体" w:eastAsia="黑体"/>
          <w:sz w:val="28"/>
          <w:szCs w:val="28"/>
        </w:rPr>
        <w:t>三、政府采购支出情况</w:t>
      </w:r>
    </w:p>
    <w:p w14:paraId="66EBE4B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4284.02</w:t>
      </w:r>
      <w:r>
        <w:rPr>
          <w:rFonts w:hint="eastAsia" w:ascii="仿宋_GB2312" w:eastAsia="仿宋_GB2312"/>
          <w:sz w:val="28"/>
          <w:szCs w:val="28"/>
        </w:rPr>
        <w:t>万元，其中：政府采购货物支出</w:t>
      </w:r>
      <w:r>
        <w:rPr>
          <w:rFonts w:ascii="仿宋_GB2312" w:eastAsia="仿宋_GB2312"/>
          <w:sz w:val="28"/>
          <w:szCs w:val="28"/>
        </w:rPr>
        <w:t>127.68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4156.35</w:t>
      </w:r>
      <w:r>
        <w:rPr>
          <w:rFonts w:hint="eastAsia" w:ascii="仿宋_GB2312" w:eastAsia="仿宋_GB2312"/>
          <w:sz w:val="28"/>
          <w:szCs w:val="28"/>
        </w:rPr>
        <w:t>万元。授予中小企业合同金额</w:t>
      </w:r>
      <w:r>
        <w:rPr>
          <w:rFonts w:ascii="仿宋_GB2312" w:eastAsia="仿宋_GB2312"/>
          <w:sz w:val="28"/>
          <w:szCs w:val="28"/>
        </w:rPr>
        <w:t>1806.9</w:t>
      </w:r>
      <w:r>
        <w:rPr>
          <w:rFonts w:hint="eastAsia" w:ascii="仿宋_GB2312" w:eastAsia="仿宋_GB2312"/>
          <w:sz w:val="28"/>
          <w:szCs w:val="28"/>
        </w:rPr>
        <w:t>万元，占政府采购支出总额的</w:t>
      </w:r>
      <w:r>
        <w:rPr>
          <w:rFonts w:hint="eastAsia" w:ascii="仿宋_GB2312" w:eastAsia="仿宋_GB2312"/>
          <w:sz w:val="28"/>
          <w:szCs w:val="28"/>
          <w:lang w:eastAsia="zh-CN"/>
        </w:rPr>
        <w:t>42.18</w:t>
      </w:r>
      <w:r>
        <w:rPr>
          <w:rFonts w:hint="eastAsia" w:ascii="仿宋_GB2312" w:eastAsia="仿宋_GB2312"/>
          <w:sz w:val="28"/>
          <w:szCs w:val="28"/>
        </w:rPr>
        <w:t>%，其中：授予小微企业合同金额</w:t>
      </w:r>
      <w:r>
        <w:rPr>
          <w:rFonts w:ascii="仿宋_GB2312" w:eastAsia="仿宋_GB2312"/>
          <w:sz w:val="28"/>
          <w:szCs w:val="28"/>
        </w:rPr>
        <w:t>1658.82</w:t>
      </w:r>
      <w:r>
        <w:rPr>
          <w:rFonts w:hint="eastAsia" w:ascii="仿宋_GB2312" w:eastAsia="仿宋_GB2312"/>
          <w:sz w:val="28"/>
          <w:szCs w:val="28"/>
        </w:rPr>
        <w:t>万元，占政府采购支出总额的</w:t>
      </w:r>
      <w:r>
        <w:rPr>
          <w:rFonts w:ascii="仿宋_GB2312" w:eastAsia="仿宋_GB2312"/>
          <w:sz w:val="28"/>
          <w:szCs w:val="28"/>
        </w:rPr>
        <w:t>38.72</w:t>
      </w:r>
      <w:r>
        <w:rPr>
          <w:rFonts w:hint="eastAsia" w:ascii="仿宋_GB2312" w:eastAsia="仿宋_GB2312"/>
          <w:sz w:val="28"/>
          <w:szCs w:val="28"/>
        </w:rPr>
        <w:t>%。</w:t>
      </w:r>
    </w:p>
    <w:p w14:paraId="20287297">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663D43A">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12月31日，北京市科学技术委员会、中关村科技园区管理委员会综合事务中心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AA7855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84CE4A7">
      <w:pPr>
        <w:ind w:firstLine="537" w:firstLineChars="192"/>
        <w:rPr>
          <w:rFonts w:hint="eastAsia" w:ascii="仿宋_GB2312" w:eastAsia="仿宋_GB2312"/>
          <w:sz w:val="28"/>
          <w:szCs w:val="28"/>
        </w:rPr>
      </w:pPr>
      <w:r>
        <w:rPr>
          <w:rFonts w:hint="eastAsia" w:ascii="仿宋_GB2312" w:eastAsia="仿宋_GB2312"/>
          <w:sz w:val="28"/>
          <w:szCs w:val="28"/>
        </w:rPr>
        <w:t>本单位不属于政府购买服务购买主体。</w:t>
      </w:r>
    </w:p>
    <w:p w14:paraId="1604FA6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1D0E260">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475237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EC8DD7D">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F6D145A">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14E1ECA">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1D0D52B">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D381EBC">
      <w:pPr>
        <w:keepNext w:val="0"/>
        <w:keepLines w:val="0"/>
        <w:pageBreakBefore w:val="0"/>
        <w:widowControl/>
        <w:kinsoku/>
        <w:wordWrap/>
        <w:overflowPunct/>
        <w:topLinePunct w:val="0"/>
        <w:bidi w:val="0"/>
        <w:snapToGrid/>
        <w:spacing w:line="240" w:lineRule="auto"/>
        <w:ind w:firstLine="560" w:firstLineChars="200"/>
        <w:textAlignment w:val="auto"/>
        <w:rPr>
          <w:rFonts w:hint="eastAsia" w:ascii="仿宋_GB2312" w:hAnsi="Times New Roman" w:eastAsia="仿宋_GB2312" w:cs="Times New Roman"/>
          <w:b w:val="0"/>
          <w:bCs w:val="0"/>
          <w:sz w:val="28"/>
          <w:szCs w:val="28"/>
        </w:rPr>
      </w:pPr>
      <w:r>
        <w:rPr>
          <w:rFonts w:hint="eastAsia" w:ascii="仿宋_GB2312" w:hAnsi="Times New Roman" w:eastAsia="仿宋_GB2312" w:cs="Times New Roman"/>
          <w:b w:val="0"/>
          <w:bCs w:val="0"/>
          <w:sz w:val="28"/>
          <w:szCs w:val="28"/>
        </w:rPr>
        <w:t>7.支出功能分类项级科目名词解释</w:t>
      </w:r>
    </w:p>
    <w:p w14:paraId="6D897247">
      <w:pPr>
        <w:keepNext w:val="0"/>
        <w:keepLines w:val="0"/>
        <w:pageBreakBefore w:val="0"/>
        <w:widowControl/>
        <w:kinsoku/>
        <w:wordWrap/>
        <w:overflowPunct/>
        <w:topLinePunct w:val="0"/>
        <w:bidi w:val="0"/>
        <w:snapToGrid/>
        <w:spacing w:line="240" w:lineRule="auto"/>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b w:val="0"/>
          <w:bCs w:val="0"/>
          <w:sz w:val="28"/>
          <w:szCs w:val="28"/>
          <w:lang w:eastAsia="zh-CN"/>
        </w:rPr>
        <w:t>（</w:t>
      </w:r>
      <w:r>
        <w:rPr>
          <w:rFonts w:hint="eastAsia" w:ascii="仿宋_GB2312" w:hAnsi="Times New Roman" w:eastAsia="仿宋_GB2312" w:cs="Times New Roman"/>
          <w:b w:val="0"/>
          <w:bCs w:val="0"/>
          <w:sz w:val="28"/>
          <w:szCs w:val="28"/>
          <w:lang w:val="en-US" w:eastAsia="zh-CN"/>
        </w:rPr>
        <w:t>1</w:t>
      </w:r>
      <w:r>
        <w:rPr>
          <w:rFonts w:hint="eastAsia" w:ascii="仿宋_GB2312" w:hAnsi="Times New Roman" w:eastAsia="仿宋_GB2312" w:cs="Times New Roman"/>
          <w:b w:val="0"/>
          <w:bCs w:val="0"/>
          <w:sz w:val="28"/>
          <w:szCs w:val="28"/>
          <w:lang w:eastAsia="zh-CN"/>
        </w:rPr>
        <w:t>）</w:t>
      </w:r>
      <w:r>
        <w:rPr>
          <w:rFonts w:hint="eastAsia" w:ascii="仿宋_GB2312" w:hAnsi="Times New Roman" w:eastAsia="仿宋_GB2312" w:cs="Times New Roman"/>
          <w:sz w:val="28"/>
          <w:szCs w:val="28"/>
        </w:rPr>
        <w:t>科学技术支出</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应用研究</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机构运行：</w:t>
      </w:r>
      <w:r>
        <w:rPr>
          <w:rFonts w:hint="eastAsia" w:ascii="仿宋_GB2312" w:hAnsi="Times New Roman" w:eastAsia="仿宋_GB2312" w:cs="Times New Roman"/>
          <w:sz w:val="28"/>
          <w:szCs w:val="28"/>
          <w:lang w:eastAsia="zh-CN"/>
        </w:rPr>
        <w:t>反映应用研究机构的基本支出</w:t>
      </w:r>
      <w:r>
        <w:rPr>
          <w:rFonts w:hint="eastAsia" w:ascii="仿宋_GB2312" w:hAnsi="Times New Roman" w:eastAsia="仿宋_GB2312" w:cs="Times New Roman"/>
          <w:sz w:val="28"/>
          <w:szCs w:val="28"/>
        </w:rPr>
        <w:t>。</w:t>
      </w:r>
    </w:p>
    <w:p w14:paraId="34E20D9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2</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科学技术支出</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科技条件与服务</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科技条件专项：反映</w:t>
      </w:r>
      <w:r>
        <w:rPr>
          <w:rFonts w:hint="eastAsia" w:ascii="仿宋_GB2312" w:hAnsi="Times New Roman" w:eastAsia="仿宋_GB2312" w:cs="Times New Roman"/>
          <w:sz w:val="28"/>
          <w:szCs w:val="28"/>
          <w:lang w:eastAsia="zh-CN"/>
        </w:rPr>
        <w:t>国家用于完善科技条件的支出，包括科技文献信息、网络环境支撑等科技条件专项支出等</w:t>
      </w:r>
      <w:r>
        <w:rPr>
          <w:rFonts w:hint="eastAsia" w:ascii="仿宋_GB2312" w:hAnsi="Times New Roman" w:eastAsia="仿宋_GB2312" w:cs="Times New Roman"/>
          <w:sz w:val="28"/>
          <w:szCs w:val="28"/>
        </w:rPr>
        <w:t>。</w:t>
      </w:r>
    </w:p>
    <w:p w14:paraId="15A02529">
      <w:pPr>
        <w:keepNext w:val="0"/>
        <w:keepLines w:val="0"/>
        <w:pageBreakBefore w:val="0"/>
        <w:widowControl/>
        <w:kinsoku/>
        <w:wordWrap/>
        <w:overflowPunct/>
        <w:topLinePunct w:val="0"/>
        <w:bidi w:val="0"/>
        <w:snapToGrid/>
        <w:spacing w:line="240" w:lineRule="auto"/>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社会保障和就业支出</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行政事业单位养老支出</w:t>
      </w:r>
      <w:r>
        <w:rPr>
          <w:rFonts w:hint="eastAsia" w:ascii="仿宋_GB2312" w:eastAsia="仿宋_GB2312" w:cs="Times New Roman"/>
          <w:sz w:val="28"/>
          <w:szCs w:val="28"/>
          <w:lang w:val="en-US" w:eastAsia="zh-CN"/>
        </w:rPr>
        <w:t>-机关事业单位基本养老保险缴费支出：反映机关事业单位实施养老保险制度由单位缴纳的基本养老保险费支出。</w:t>
      </w:r>
    </w:p>
    <w:p w14:paraId="080C5716">
      <w:pPr>
        <w:keepNext w:val="0"/>
        <w:keepLines w:val="0"/>
        <w:pageBreakBefore w:val="0"/>
        <w:widowControl/>
        <w:kinsoku/>
        <w:wordWrap/>
        <w:overflowPunct/>
        <w:topLinePunct w:val="0"/>
        <w:bidi w:val="0"/>
        <w:snapToGrid/>
        <w:spacing w:line="240" w:lineRule="auto"/>
        <w:ind w:firstLine="560" w:firstLineChars="200"/>
        <w:textAlignment w:val="auto"/>
        <w:rPr>
          <w:rFonts w:hint="eastAsia" w:ascii="仿宋_GB2312" w:hAnsi="Times New Roman" w:eastAsia="仿宋_GB2312" w:cs="Times New Roman"/>
          <w:sz w:val="28"/>
          <w:szCs w:val="28"/>
          <w:lang w:eastAsia="zh-CN"/>
        </w:rPr>
      </w:pPr>
      <w:r>
        <w:rPr>
          <w:rFonts w:hint="eastAsia" w:ascii="仿宋_GB2312" w:eastAsia="仿宋_GB2312" w:cs="Times New Roman"/>
          <w:sz w:val="28"/>
          <w:szCs w:val="28"/>
          <w:lang w:eastAsia="zh-CN"/>
        </w:rPr>
        <w:t>（</w:t>
      </w:r>
      <w:r>
        <w:rPr>
          <w:rFonts w:hint="eastAsia" w:ascii="仿宋_GB2312" w:eastAsia="仿宋_GB2312" w:cs="Times New Roman"/>
          <w:sz w:val="28"/>
          <w:szCs w:val="28"/>
          <w:lang w:val="en-US" w:eastAsia="zh-CN"/>
        </w:rPr>
        <w:t>4</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lang w:eastAsia="zh-CN"/>
        </w:rPr>
        <w:t>社会保障和就业支出-行政事业单位养老支出-事业单位离退休：反映事业单位开支的离退休经费。</w:t>
      </w:r>
    </w:p>
    <w:p w14:paraId="662F586B">
      <w:pPr>
        <w:keepNext w:val="0"/>
        <w:keepLines w:val="0"/>
        <w:pageBreakBefore w:val="0"/>
        <w:widowControl/>
        <w:kinsoku/>
        <w:wordWrap/>
        <w:overflowPunct/>
        <w:topLinePunct w:val="0"/>
        <w:bidi w:val="0"/>
        <w:snapToGrid/>
        <w:spacing w:line="240" w:lineRule="auto"/>
        <w:ind w:firstLine="560" w:firstLineChars="200"/>
        <w:textAlignment w:val="auto"/>
        <w:rPr>
          <w:rFonts w:hint="eastAsia" w:ascii="仿宋_GB2312" w:hAnsi="Times New Roman" w:eastAsia="仿宋_GB2312" w:cs="Times New Roman"/>
          <w:sz w:val="28"/>
          <w:szCs w:val="28"/>
          <w:lang w:eastAsia="zh-CN"/>
        </w:rPr>
      </w:pPr>
      <w:r>
        <w:rPr>
          <w:rFonts w:hint="eastAsia" w:ascii="仿宋_GB2312" w:eastAsia="仿宋_GB2312" w:cs="Times New Roman"/>
          <w:sz w:val="28"/>
          <w:szCs w:val="28"/>
          <w:lang w:eastAsia="zh-CN"/>
        </w:rPr>
        <w:t>（</w:t>
      </w:r>
      <w:r>
        <w:rPr>
          <w:rFonts w:hint="eastAsia" w:ascii="仿宋_GB2312" w:eastAsia="仿宋_GB2312" w:cs="Times New Roman"/>
          <w:sz w:val="28"/>
          <w:szCs w:val="28"/>
          <w:lang w:val="en-US" w:eastAsia="zh-CN"/>
        </w:rPr>
        <w:t>5</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lang w:eastAsia="zh-CN"/>
        </w:rPr>
        <w:t>社会保障和就业支出-行政事业单位养老支出-机关事业单位职业年金缴费支出：反映机关事业单位实施养老保险制度由单位实际缴纳的职业年金支出（含职业年金补记支出）。</w:t>
      </w:r>
    </w:p>
    <w:p w14:paraId="4367BABD">
      <w:pPr>
        <w:keepNext w:val="0"/>
        <w:keepLines w:val="0"/>
        <w:pageBreakBefore w:val="0"/>
        <w:widowControl/>
        <w:kinsoku/>
        <w:wordWrap/>
        <w:overflowPunct/>
        <w:topLinePunct w:val="0"/>
        <w:bidi w:val="0"/>
        <w:snapToGrid/>
        <w:spacing w:line="240" w:lineRule="auto"/>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w:t>
      </w:r>
      <w:r>
        <w:rPr>
          <w:rFonts w:hint="eastAsia" w:ascii="仿宋_GB2312" w:eastAsia="仿宋_GB2312" w:cs="Times New Roman"/>
          <w:sz w:val="28"/>
          <w:szCs w:val="28"/>
          <w:lang w:val="en-US" w:eastAsia="zh-CN"/>
        </w:rPr>
        <w:t>6</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科学技术支出</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科学技术管理事务</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其他科学技术管理事务支出：反映除上述项目以外其他用于科学技术管理事务方面的支出。</w:t>
      </w:r>
    </w:p>
    <w:p w14:paraId="532B9340">
      <w:pPr>
        <w:keepNext w:val="0"/>
        <w:keepLines w:val="0"/>
        <w:pageBreakBefore w:val="0"/>
        <w:widowControl/>
        <w:kinsoku/>
        <w:wordWrap/>
        <w:overflowPunct/>
        <w:topLinePunct w:val="0"/>
        <w:bidi w:val="0"/>
        <w:snapToGrid/>
        <w:spacing w:line="240" w:lineRule="auto"/>
        <w:ind w:firstLine="560" w:firstLineChars="200"/>
        <w:textAlignment w:val="auto"/>
        <w:rPr>
          <w:rFonts w:hint="eastAsia" w:ascii="黑体" w:eastAsia="黑体"/>
          <w:sz w:val="32"/>
          <w:szCs w:val="32"/>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7</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lang w:eastAsia="zh-CN"/>
        </w:rPr>
        <w:t>教育支出</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eastAsia="zh-CN"/>
        </w:rPr>
        <w:t>进修及培训</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eastAsia="zh-CN"/>
        </w:rPr>
        <w:t>培训支出：反映各部门安排的用于培训的支出。</w:t>
      </w:r>
    </w:p>
    <w:p w14:paraId="40424141">
      <w:pPr>
        <w:ind w:firstLine="640" w:firstLineChars="200"/>
        <w:jc w:val="center"/>
        <w:rPr>
          <w:rFonts w:hint="eastAsia" w:ascii="黑体" w:eastAsia="黑体"/>
          <w:sz w:val="32"/>
          <w:szCs w:val="32"/>
        </w:rPr>
      </w:pPr>
    </w:p>
    <w:p w14:paraId="7A876773">
      <w:pPr>
        <w:ind w:firstLine="640" w:firstLineChars="200"/>
        <w:jc w:val="center"/>
        <w:rPr>
          <w:rFonts w:hint="eastAsia" w:ascii="黑体" w:eastAsia="黑体"/>
          <w:sz w:val="32"/>
          <w:szCs w:val="32"/>
        </w:rPr>
      </w:pPr>
    </w:p>
    <w:p w14:paraId="0C8DA42E">
      <w:pPr>
        <w:ind w:firstLine="640" w:firstLineChars="200"/>
        <w:jc w:val="center"/>
        <w:rPr>
          <w:rFonts w:hint="eastAsia" w:ascii="黑体" w:eastAsia="黑体"/>
          <w:sz w:val="32"/>
          <w:szCs w:val="32"/>
        </w:rPr>
      </w:pPr>
    </w:p>
    <w:p w14:paraId="4BB0C8E5">
      <w:pPr>
        <w:ind w:firstLine="640" w:firstLineChars="200"/>
        <w:jc w:val="center"/>
        <w:rPr>
          <w:rFonts w:hint="eastAsia" w:ascii="黑体" w:eastAsia="黑体"/>
          <w:sz w:val="32"/>
          <w:szCs w:val="32"/>
        </w:rPr>
      </w:pPr>
    </w:p>
    <w:p w14:paraId="37764262">
      <w:pPr>
        <w:ind w:firstLine="640" w:firstLineChars="200"/>
        <w:jc w:val="center"/>
        <w:rPr>
          <w:rFonts w:hint="eastAsia" w:ascii="黑体" w:eastAsia="黑体"/>
          <w:sz w:val="32"/>
          <w:szCs w:val="32"/>
        </w:rPr>
      </w:pPr>
    </w:p>
    <w:p w14:paraId="2F526E5C">
      <w:pPr>
        <w:ind w:firstLine="640" w:firstLineChars="200"/>
        <w:jc w:val="center"/>
        <w:rPr>
          <w:rFonts w:hint="eastAsia" w:ascii="黑体" w:eastAsia="黑体"/>
          <w:sz w:val="32"/>
          <w:szCs w:val="32"/>
        </w:rPr>
      </w:pPr>
    </w:p>
    <w:p w14:paraId="45B7473A">
      <w:pPr>
        <w:ind w:firstLine="640" w:firstLineChars="200"/>
        <w:jc w:val="center"/>
        <w:rPr>
          <w:rFonts w:hint="eastAsia" w:ascii="黑体" w:eastAsia="黑体"/>
          <w:sz w:val="32"/>
          <w:szCs w:val="32"/>
        </w:rPr>
      </w:pPr>
    </w:p>
    <w:p w14:paraId="0D0EA81D">
      <w:pPr>
        <w:ind w:firstLine="640" w:firstLineChars="200"/>
        <w:jc w:val="center"/>
        <w:rPr>
          <w:rFonts w:hint="eastAsia" w:ascii="黑体" w:eastAsia="黑体"/>
          <w:sz w:val="32"/>
          <w:szCs w:val="32"/>
        </w:rPr>
      </w:pPr>
    </w:p>
    <w:p w14:paraId="0EC88095">
      <w:pPr>
        <w:ind w:firstLine="640" w:firstLineChars="200"/>
        <w:jc w:val="center"/>
        <w:rPr>
          <w:rFonts w:hint="eastAsia" w:ascii="黑体" w:eastAsia="黑体"/>
          <w:sz w:val="32"/>
          <w:szCs w:val="32"/>
        </w:rPr>
      </w:pPr>
    </w:p>
    <w:p w14:paraId="3043EA52">
      <w:pPr>
        <w:ind w:firstLine="640" w:firstLineChars="200"/>
        <w:jc w:val="center"/>
        <w:rPr>
          <w:rFonts w:hint="eastAsia" w:ascii="黑体" w:eastAsia="黑体"/>
          <w:sz w:val="32"/>
          <w:szCs w:val="32"/>
        </w:rPr>
      </w:pPr>
    </w:p>
    <w:p w14:paraId="1575B6F2">
      <w:pPr>
        <w:ind w:firstLine="640" w:firstLineChars="200"/>
        <w:jc w:val="center"/>
        <w:rPr>
          <w:rFonts w:hint="eastAsia" w:ascii="黑体" w:eastAsia="黑体"/>
          <w:sz w:val="32"/>
          <w:szCs w:val="32"/>
        </w:rPr>
      </w:pPr>
    </w:p>
    <w:p w14:paraId="5F348F11">
      <w:pPr>
        <w:ind w:firstLine="640" w:firstLineChars="200"/>
        <w:jc w:val="center"/>
        <w:rPr>
          <w:rFonts w:hint="eastAsia" w:ascii="黑体" w:eastAsia="黑体"/>
          <w:sz w:val="32"/>
          <w:szCs w:val="32"/>
        </w:rPr>
      </w:pPr>
    </w:p>
    <w:p w14:paraId="5296C043">
      <w:pPr>
        <w:ind w:firstLine="640" w:firstLineChars="200"/>
        <w:jc w:val="center"/>
        <w:rPr>
          <w:rFonts w:hint="eastAsia" w:ascii="黑体" w:eastAsia="黑体"/>
          <w:sz w:val="32"/>
          <w:szCs w:val="32"/>
        </w:rPr>
      </w:pPr>
    </w:p>
    <w:p w14:paraId="7762BABE">
      <w:pPr>
        <w:ind w:firstLine="640" w:firstLineChars="200"/>
        <w:jc w:val="center"/>
        <w:rPr>
          <w:rFonts w:hint="eastAsia" w:ascii="黑体" w:eastAsia="黑体"/>
          <w:sz w:val="32"/>
          <w:szCs w:val="32"/>
        </w:rPr>
      </w:pPr>
    </w:p>
    <w:p w14:paraId="5C255F97">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C693AD5">
      <w:pPr>
        <w:ind w:firstLine="560" w:firstLineChars="200"/>
        <w:rPr>
          <w:rFonts w:hint="eastAsia" w:ascii="黑体" w:eastAsia="黑体"/>
          <w:sz w:val="28"/>
          <w:szCs w:val="28"/>
          <w:highlight w:val="yellow"/>
        </w:rPr>
      </w:pPr>
    </w:p>
    <w:p w14:paraId="4E4B92C2">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3D49AD67">
      <w:pPr>
        <w:spacing w:line="480" w:lineRule="exact"/>
        <w:rPr>
          <w:rFonts w:hint="eastAsia" w:ascii="仿宋_GB2312" w:hAnsi="仿宋_GB2312" w:eastAsia="仿宋_GB2312" w:cs="仿宋_GB2312"/>
          <w:sz w:val="32"/>
          <w:szCs w:val="32"/>
        </w:rPr>
      </w:pPr>
    </w:p>
    <w:p w14:paraId="7C2B572A">
      <w:pPr>
        <w:spacing w:line="480" w:lineRule="exact"/>
      </w:pPr>
    </w:p>
    <w:sectPr>
      <w:footerReference r:id="rId6" w:type="default"/>
      <w:pgSz w:w="16838" w:h="11906" w:orient="landscape"/>
      <w:pgMar w:top="1134" w:right="1134" w:bottom="1134" w:left="1134" w:header="851" w:footer="992" w:gutter="0"/>
      <w:pgNumType w:fmt="decimal"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1D0C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5DCB4F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D954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F6CC449">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F2F0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ACD6D5D">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D50E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F0C048">
                          <w:pPr>
                            <w:pStyle w:val="7"/>
                            <w:rPr>
                              <w:rStyle w:val="13"/>
                            </w:rPr>
                          </w:pPr>
                          <w:r>
                            <w:fldChar w:fldCharType="begin"/>
                          </w:r>
                          <w:r>
                            <w:rPr>
                              <w:rStyle w:val="13"/>
                            </w:rPr>
                            <w:instrText xml:space="preserve">PAGE  </w:instrText>
                          </w:r>
                          <w:r>
                            <w:fldChar w:fldCharType="separate"/>
                          </w:r>
                          <w:r>
                            <w:rPr>
                              <w:rStyle w:val="13"/>
                            </w:rP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5F0C048">
                    <w:pPr>
                      <w:pStyle w:val="7"/>
                      <w:rPr>
                        <w:rStyle w:val="13"/>
                      </w:rPr>
                    </w:pPr>
                    <w:r>
                      <w:fldChar w:fldCharType="begin"/>
                    </w:r>
                    <w:r>
                      <w:rPr>
                        <w:rStyle w:val="13"/>
                      </w:rPr>
                      <w:instrText xml:space="preserve">PAGE  </w:instrText>
                    </w:r>
                    <w:r>
                      <w:fldChar w:fldCharType="separate"/>
                    </w:r>
                    <w:r>
                      <w:rPr>
                        <w:rStyle w:val="13"/>
                      </w:rPr>
                      <w:t>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461BDC"/>
    <w:rsid w:val="04C3537C"/>
    <w:rsid w:val="079004AC"/>
    <w:rsid w:val="080E5535"/>
    <w:rsid w:val="08544830"/>
    <w:rsid w:val="0BA148CA"/>
    <w:rsid w:val="0C1165C4"/>
    <w:rsid w:val="0D6D544B"/>
    <w:rsid w:val="0DD136FE"/>
    <w:rsid w:val="0F8E2C57"/>
    <w:rsid w:val="1059665E"/>
    <w:rsid w:val="108654B0"/>
    <w:rsid w:val="10AC13BA"/>
    <w:rsid w:val="11F35132"/>
    <w:rsid w:val="12016D07"/>
    <w:rsid w:val="124E4AA8"/>
    <w:rsid w:val="13256945"/>
    <w:rsid w:val="143C3EDD"/>
    <w:rsid w:val="145A6C1B"/>
    <w:rsid w:val="14B73493"/>
    <w:rsid w:val="14D0319D"/>
    <w:rsid w:val="15B86C1D"/>
    <w:rsid w:val="167A2FF9"/>
    <w:rsid w:val="174F1BF6"/>
    <w:rsid w:val="178F5592"/>
    <w:rsid w:val="18581C69"/>
    <w:rsid w:val="1910625E"/>
    <w:rsid w:val="1AEC0734"/>
    <w:rsid w:val="1D543842"/>
    <w:rsid w:val="1DEF20B0"/>
    <w:rsid w:val="1E8A6837"/>
    <w:rsid w:val="2005486A"/>
    <w:rsid w:val="214243FA"/>
    <w:rsid w:val="217D1928"/>
    <w:rsid w:val="21A47E8B"/>
    <w:rsid w:val="21AD613C"/>
    <w:rsid w:val="21C30312"/>
    <w:rsid w:val="2208041A"/>
    <w:rsid w:val="223A6A64"/>
    <w:rsid w:val="22467189"/>
    <w:rsid w:val="23675615"/>
    <w:rsid w:val="24377855"/>
    <w:rsid w:val="24650F7B"/>
    <w:rsid w:val="24BB79C6"/>
    <w:rsid w:val="24FB78A2"/>
    <w:rsid w:val="257A14F5"/>
    <w:rsid w:val="27196C26"/>
    <w:rsid w:val="29053906"/>
    <w:rsid w:val="29EF086F"/>
    <w:rsid w:val="2A6677F4"/>
    <w:rsid w:val="2ACF41CB"/>
    <w:rsid w:val="2B201DA6"/>
    <w:rsid w:val="2BF0606B"/>
    <w:rsid w:val="2D0143E4"/>
    <w:rsid w:val="2DB74512"/>
    <w:rsid w:val="2E0979E2"/>
    <w:rsid w:val="2EAA644F"/>
    <w:rsid w:val="2EFFE297"/>
    <w:rsid w:val="301437CA"/>
    <w:rsid w:val="31D04385"/>
    <w:rsid w:val="33B23011"/>
    <w:rsid w:val="33DA0873"/>
    <w:rsid w:val="349D1F0A"/>
    <w:rsid w:val="34DD0473"/>
    <w:rsid w:val="35610228"/>
    <w:rsid w:val="39477DDB"/>
    <w:rsid w:val="3961299E"/>
    <w:rsid w:val="39673821"/>
    <w:rsid w:val="39811FFF"/>
    <w:rsid w:val="3A1F0E7F"/>
    <w:rsid w:val="3B277A22"/>
    <w:rsid w:val="3C684897"/>
    <w:rsid w:val="3EC72686"/>
    <w:rsid w:val="3F851A55"/>
    <w:rsid w:val="407766CD"/>
    <w:rsid w:val="407C34F9"/>
    <w:rsid w:val="42AD50EE"/>
    <w:rsid w:val="433E495C"/>
    <w:rsid w:val="43BC29BB"/>
    <w:rsid w:val="444924A1"/>
    <w:rsid w:val="448478F7"/>
    <w:rsid w:val="44FA379B"/>
    <w:rsid w:val="45383C57"/>
    <w:rsid w:val="46F43360"/>
    <w:rsid w:val="486D24D6"/>
    <w:rsid w:val="489F2FD7"/>
    <w:rsid w:val="4A2703C7"/>
    <w:rsid w:val="4AC27CB3"/>
    <w:rsid w:val="4B30355B"/>
    <w:rsid w:val="4BF72BEF"/>
    <w:rsid w:val="4C5D3F57"/>
    <w:rsid w:val="4D493511"/>
    <w:rsid w:val="4FA90297"/>
    <w:rsid w:val="4FC41A43"/>
    <w:rsid w:val="4FE32E29"/>
    <w:rsid w:val="4FFC486B"/>
    <w:rsid w:val="503A0A35"/>
    <w:rsid w:val="50DD28EE"/>
    <w:rsid w:val="50F04EB0"/>
    <w:rsid w:val="51433AA3"/>
    <w:rsid w:val="51DB3C59"/>
    <w:rsid w:val="54D22117"/>
    <w:rsid w:val="550C0952"/>
    <w:rsid w:val="55762E42"/>
    <w:rsid w:val="560870C8"/>
    <w:rsid w:val="56B42175"/>
    <w:rsid w:val="57A7B272"/>
    <w:rsid w:val="57BD6030"/>
    <w:rsid w:val="58470068"/>
    <w:rsid w:val="58747CAC"/>
    <w:rsid w:val="5A1720F9"/>
    <w:rsid w:val="5B9C37C2"/>
    <w:rsid w:val="5BA7C654"/>
    <w:rsid w:val="5DD14B99"/>
    <w:rsid w:val="5EBB1968"/>
    <w:rsid w:val="604D7C30"/>
    <w:rsid w:val="60A54109"/>
    <w:rsid w:val="61D01CDF"/>
    <w:rsid w:val="62D46BC5"/>
    <w:rsid w:val="640C3047"/>
    <w:rsid w:val="64C0607C"/>
    <w:rsid w:val="64CF5DD4"/>
    <w:rsid w:val="65756C86"/>
    <w:rsid w:val="66996EEE"/>
    <w:rsid w:val="674D385B"/>
    <w:rsid w:val="676F09E1"/>
    <w:rsid w:val="688B3837"/>
    <w:rsid w:val="68923B67"/>
    <w:rsid w:val="6C6500BF"/>
    <w:rsid w:val="6CCF4993"/>
    <w:rsid w:val="6D3F100D"/>
    <w:rsid w:val="6D772DD4"/>
    <w:rsid w:val="6EA87BE8"/>
    <w:rsid w:val="701B1D7B"/>
    <w:rsid w:val="705942F2"/>
    <w:rsid w:val="71F6149A"/>
    <w:rsid w:val="72176456"/>
    <w:rsid w:val="72C1051B"/>
    <w:rsid w:val="72F86CBC"/>
    <w:rsid w:val="7357290B"/>
    <w:rsid w:val="7380684D"/>
    <w:rsid w:val="77347C1F"/>
    <w:rsid w:val="78B10039"/>
    <w:rsid w:val="798524E4"/>
    <w:rsid w:val="7A67399B"/>
    <w:rsid w:val="7A7F1C49"/>
    <w:rsid w:val="7AF80774"/>
    <w:rsid w:val="7B5B7AE6"/>
    <w:rsid w:val="7B6C1BE2"/>
    <w:rsid w:val="7B7B6628"/>
    <w:rsid w:val="7B863DF3"/>
    <w:rsid w:val="7BA7071E"/>
    <w:rsid w:val="7BDF6DA8"/>
    <w:rsid w:val="7C2B6866"/>
    <w:rsid w:val="7C7EDC1A"/>
    <w:rsid w:val="7CCED98D"/>
    <w:rsid w:val="7D08410F"/>
    <w:rsid w:val="7DB66434"/>
    <w:rsid w:val="7DB96DED"/>
    <w:rsid w:val="7DD3AD81"/>
    <w:rsid w:val="7F7FE70F"/>
    <w:rsid w:val="7F8D541F"/>
    <w:rsid w:val="7F9943AB"/>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7000.26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76236af-653d-4f97-b7b0-71ad67dd7506}"/>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1762.41</c:v>
                </c:pt>
                <c:pt idx="1">
                  <c:v>4623.11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a6b4bfe-8f18-47ae-a20b-a81f02e049bd}"/>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268</Words>
  <Characters>286</Characters>
  <Lines>44</Lines>
  <Paragraphs>12</Paragraphs>
  <TotalTime>2</TotalTime>
  <ScaleCrop>false</ScaleCrop>
  <LinksUpToDate>false</LinksUpToDate>
  <CharactersWithSpaces>298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龚锦</cp:lastModifiedBy>
  <cp:lastPrinted>2020-08-07T11:39:00Z</cp:lastPrinted>
  <dcterms:modified xsi:type="dcterms:W3CDTF">2025-09-08T07:44:16Z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48F5D49AE29B4281AD1F9F8D156D4FB2_13</vt:lpwstr>
  </property>
  <property fmtid="{D5CDD505-2E9C-101B-9397-08002B2CF9AE}" pid="4" name="KSOTemplateDocerSaveRecord">
    <vt:lpwstr>eyJoZGlkIjoiNDI1NGQ4MDY4NjMxYWVlMzc3ODM2NDE0MmU1ODUxYzYiLCJ1c2VySWQiOiIyNjM5OTI1MTYifQ==</vt:lpwstr>
  </property>
</Properties>
</file>