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33078" w14:textId="77777777" w:rsidR="00E51C38" w:rsidRDefault="00000000">
      <w:pPr>
        <w:widowControl w:val="0"/>
        <w:spacing w:after="0" w:line="560" w:lineRule="exact"/>
        <w:jc w:val="both"/>
        <w:rPr>
          <w:rFonts w:eastAsia="黑体" w:hint="eastAsia"/>
          <w:sz w:val="36"/>
          <w:szCs w:val="36"/>
          <w:lang w:eastAsia="zh-CN"/>
        </w:rPr>
      </w:pPr>
      <w:r>
        <w:rPr>
          <w:rFonts w:ascii="黑体" w:eastAsia="黑体" w:hAnsi="黑体" w:cs="Times New Roman" w:hint="eastAsia"/>
          <w:color w:val="000000"/>
          <w:sz w:val="32"/>
          <w:szCs w:val="32"/>
          <w:lang w:eastAsia="zh-CN"/>
        </w:rPr>
        <w:t>附件1</w:t>
      </w:r>
    </w:p>
    <w:p w14:paraId="0D373819" w14:textId="77777777" w:rsidR="00E51C38" w:rsidRDefault="00E51C38">
      <w:pPr>
        <w:widowControl w:val="0"/>
        <w:spacing w:after="0" w:line="560" w:lineRule="exact"/>
        <w:jc w:val="center"/>
        <w:rPr>
          <w:rFonts w:ascii="方正小标宋_GBK" w:eastAsia="方正小标宋_GBK" w:hAnsi="方正小标宋_GBK" w:cs="方正小标宋_GBK" w:hint="eastAsia"/>
          <w:color w:val="000000"/>
          <w:kern w:val="2"/>
          <w:sz w:val="44"/>
          <w:szCs w:val="44"/>
          <w:lang w:eastAsia="zh-CN"/>
        </w:rPr>
      </w:pPr>
    </w:p>
    <w:p w14:paraId="1A6FDC05" w14:textId="77777777" w:rsidR="00E51C38" w:rsidRDefault="00000000">
      <w:pPr>
        <w:widowControl w:val="0"/>
        <w:spacing w:after="0" w:line="560" w:lineRule="exact"/>
        <w:jc w:val="center"/>
        <w:rPr>
          <w:rFonts w:ascii="方正小标宋_GBK" w:eastAsia="方正小标宋_GBK" w:hAnsi="方正小标宋_GBK" w:cs="方正小标宋_GBK" w:hint="eastAsia"/>
          <w:color w:val="000000"/>
          <w:kern w:val="2"/>
          <w:sz w:val="44"/>
          <w:szCs w:val="44"/>
          <w:lang w:eastAsia="zh-CN"/>
        </w:rPr>
      </w:pPr>
      <w:r>
        <w:rPr>
          <w:rFonts w:ascii="方正小标宋_GBK" w:eastAsia="方正小标宋_GBK" w:hAnsi="方正小标宋_GBK" w:cs="方正小标宋_GBK" w:hint="eastAsia"/>
          <w:color w:val="000000"/>
          <w:kern w:val="2"/>
          <w:sz w:val="44"/>
          <w:szCs w:val="44"/>
          <w:lang w:eastAsia="zh-CN"/>
        </w:rPr>
        <w:t>2026年度“AI+”方向“揭榜挂帅”专项榜单及AI赋能生物育种征集方向</w:t>
      </w:r>
    </w:p>
    <w:p w14:paraId="5058637D" w14:textId="77777777" w:rsidR="00E51C38" w:rsidRDefault="00E51C38">
      <w:pPr>
        <w:widowControl w:val="0"/>
        <w:spacing w:after="0" w:line="560" w:lineRule="exact"/>
        <w:jc w:val="center"/>
        <w:rPr>
          <w:rFonts w:ascii="方正小标宋_GBK" w:eastAsia="方正小标宋_GBK" w:hAnsi="方正小标宋_GBK" w:cs="方正小标宋_GBK" w:hint="eastAsia"/>
          <w:color w:val="000000"/>
          <w:kern w:val="2"/>
          <w:sz w:val="44"/>
          <w:szCs w:val="44"/>
          <w:lang w:eastAsia="zh-CN"/>
        </w:rPr>
      </w:pPr>
    </w:p>
    <w:p w14:paraId="69ED8AAC" w14:textId="77777777" w:rsidR="00E51C38" w:rsidRDefault="00000000">
      <w:pPr>
        <w:widowControl w:val="0"/>
        <w:spacing w:after="0" w:line="560" w:lineRule="exact"/>
        <w:ind w:firstLineChars="200" w:firstLine="640"/>
        <w:jc w:val="both"/>
        <w:rPr>
          <w:rFonts w:hint="eastAsia"/>
          <w:lang w:eastAsia="zh-CN"/>
        </w:rPr>
      </w:pPr>
      <w:r>
        <w:rPr>
          <w:rFonts w:ascii="黑体" w:eastAsia="黑体" w:hAnsi="黑体" w:hint="eastAsia"/>
          <w:kern w:val="2"/>
          <w:sz w:val="32"/>
          <w:szCs w:val="32"/>
          <w:lang w:eastAsia="zh-CN"/>
        </w:rPr>
        <w:t>榜单方向一：AI+智慧感知安检系统关键技术攻关与示范应用</w:t>
      </w:r>
    </w:p>
    <w:p w14:paraId="58EDE7A3" w14:textId="77777777" w:rsidR="00E51C38" w:rsidRDefault="00000000">
      <w:pPr>
        <w:widowControl w:val="0"/>
        <w:spacing w:after="0" w:line="560" w:lineRule="exact"/>
        <w:ind w:firstLineChars="200" w:firstLine="640"/>
        <w:jc w:val="both"/>
        <w:rPr>
          <w:rFonts w:ascii="楷体_GB2312" w:eastAsia="楷体_GB2312" w:hAnsi="Calibri" w:cs="Times New Roman"/>
          <w:kern w:val="2"/>
          <w:sz w:val="32"/>
          <w:szCs w:val="32"/>
          <w:lang w:eastAsia="zh-CN"/>
        </w:rPr>
      </w:pPr>
      <w:r>
        <w:rPr>
          <w:rFonts w:ascii="楷体_GB2312" w:eastAsia="楷体_GB2312" w:hAnsi="Calibri" w:cs="Times New Roman" w:hint="eastAsia"/>
          <w:kern w:val="2"/>
          <w:sz w:val="32"/>
          <w:szCs w:val="32"/>
          <w:lang w:eastAsia="zh-CN"/>
        </w:rPr>
        <w:t>（一）</w:t>
      </w:r>
      <w:r>
        <w:rPr>
          <w:rFonts w:ascii="楷体_GB2312" w:eastAsia="楷体_GB2312" w:hAnsi="Calibri" w:cs="Times New Roman"/>
          <w:kern w:val="2"/>
          <w:sz w:val="32"/>
          <w:szCs w:val="32"/>
          <w:lang w:eastAsia="zh-CN"/>
        </w:rPr>
        <w:t>需求目标</w:t>
      </w:r>
    </w:p>
    <w:p w14:paraId="39DC3B6C" w14:textId="77777777" w:rsidR="00E51C38" w:rsidRDefault="00000000">
      <w:pPr>
        <w:pStyle w:val="a2"/>
        <w:widowControl w:val="0"/>
        <w:spacing w:after="0"/>
        <w:ind w:firstLine="616"/>
        <w:rPr>
          <w:rFonts w:ascii="仿宋_GB2312"/>
          <w:lang w:eastAsia="zh-CN"/>
        </w:rPr>
      </w:pPr>
      <w:r>
        <w:rPr>
          <w:rFonts w:ascii="仿宋_GB2312" w:hint="eastAsia"/>
          <w:lang w:eastAsia="zh-CN"/>
        </w:rPr>
        <w:t>为贯为贯彻落实关于重点场所智慧化安全管理的工作部署，针对安检环节中，非授权电子设备识别能力不足，钥匙、皮带扣、眼镜架、衣物拉链、饰品、文具等日常金属物品干扰引发的误报率高，通行人员同时携带非授权电子设备与一般金属物品时的复杂场景漏检风险突出，多台安检设备性能一致性差、参数配置依赖人工经验，以及缺乏面向智慧公共场景的专业测试标准与验收规范等突出问题，本项目聚焦公共场景安全管控核心需求，研发面向短时高密度人流场景的AI+智慧感知安检门系统。实现单一目标精准辨识、复杂场景不遗漏非授权电子设备、日常金属干扰有效抑制、大规模人群快速有序通行、多台设备统一标定与智能管理，形成可复制、可推广的AI+智慧感知安检“北京方案”，推动制定智能安检设备行业或国家标准，为全国重点场所安全防控提供技术示范与装备支撑。</w:t>
      </w:r>
    </w:p>
    <w:p w14:paraId="50E06497" w14:textId="77777777" w:rsidR="00E51C38" w:rsidRDefault="00000000">
      <w:pPr>
        <w:widowControl w:val="0"/>
        <w:spacing w:after="0" w:line="560" w:lineRule="exact"/>
        <w:ind w:firstLineChars="200" w:firstLine="640"/>
        <w:jc w:val="both"/>
        <w:rPr>
          <w:rFonts w:ascii="楷体_GB2312" w:eastAsia="楷体_GB2312" w:hAnsi="Calibri" w:cs="Times New Roman"/>
          <w:kern w:val="2"/>
          <w:sz w:val="32"/>
          <w:szCs w:val="32"/>
          <w:lang w:eastAsia="zh-CN"/>
        </w:rPr>
      </w:pPr>
      <w:r>
        <w:rPr>
          <w:rFonts w:ascii="楷体_GB2312" w:eastAsia="楷体_GB2312" w:hAnsi="Calibri" w:cs="Times New Roman" w:hint="eastAsia"/>
          <w:kern w:val="2"/>
          <w:sz w:val="32"/>
          <w:szCs w:val="32"/>
          <w:lang w:eastAsia="zh-CN"/>
        </w:rPr>
        <w:t>（二）</w:t>
      </w:r>
      <w:r>
        <w:rPr>
          <w:rFonts w:ascii="楷体_GB2312" w:eastAsia="楷体_GB2312" w:hAnsi="Calibri" w:cs="Times New Roman"/>
          <w:kern w:val="2"/>
          <w:sz w:val="32"/>
          <w:szCs w:val="32"/>
          <w:lang w:eastAsia="zh-CN"/>
        </w:rPr>
        <w:t>考核指标</w:t>
      </w:r>
    </w:p>
    <w:p w14:paraId="4B7FE433" w14:textId="77777777" w:rsidR="00E51C38" w:rsidRDefault="00000000">
      <w:pPr>
        <w:pStyle w:val="31"/>
        <w:widowControl w:val="0"/>
        <w:spacing w:after="0"/>
        <w:ind w:firstLine="640"/>
        <w:rPr>
          <w:rFonts w:ascii="仿宋_GB2312"/>
          <w:lang w:eastAsia="zh-CN"/>
        </w:rPr>
      </w:pPr>
      <w:bookmarkStart w:id="0" w:name="一核心探测与通行性能指标"/>
      <w:r>
        <w:rPr>
          <w:rFonts w:ascii="仿宋_GB2312" w:hint="eastAsia"/>
          <w:lang w:eastAsia="zh-CN"/>
        </w:rPr>
        <w:lastRenderedPageBreak/>
        <w:t>1.核心探测与通行性能指标</w:t>
      </w:r>
    </w:p>
    <w:p w14:paraId="04624F39" w14:textId="77777777" w:rsidR="00E51C38" w:rsidRDefault="00000000">
      <w:pPr>
        <w:pStyle w:val="FirstParagraph"/>
        <w:widowControl w:val="0"/>
        <w:spacing w:after="0"/>
        <w:ind w:firstLine="616"/>
        <w:rPr>
          <w:rFonts w:ascii="仿宋_GB2312"/>
          <w:lang w:eastAsia="zh-CN"/>
        </w:rPr>
      </w:pPr>
      <w:r>
        <w:rPr>
          <w:rFonts w:ascii="仿宋_GB2312" w:hint="eastAsia"/>
          <w:lang w:eastAsia="zh-CN"/>
        </w:rPr>
        <w:t>能够实现对非授权电子设备的高精度检出、定位和报警，并内置集成AI视觉感知能力，基于通行人员穿着特征与随身佩戴物品位置，智能预判重点检测区域并动态调整各区域探测参数。</w:t>
      </w:r>
    </w:p>
    <w:p w14:paraId="4A85F740" w14:textId="77777777" w:rsidR="00E51C38" w:rsidRDefault="00000000">
      <w:pPr>
        <w:pStyle w:val="a2"/>
        <w:widowControl w:val="0"/>
        <w:spacing w:after="0"/>
        <w:ind w:firstLine="616"/>
        <w:rPr>
          <w:rFonts w:ascii="仿宋_GB2312"/>
          <w:lang w:eastAsia="zh-CN"/>
        </w:rPr>
      </w:pPr>
      <w:r>
        <w:rPr>
          <w:rFonts w:ascii="仿宋_GB2312" w:hint="eastAsia"/>
          <w:lang w:eastAsia="zh-CN"/>
        </w:rPr>
        <w:t>目标检出率：按设备类型分层考核检出率，且各层检出率均须在下述对日常金属物品的误报率约束（不高于1%）下达成：手机等智能移动终端不低于99.5%；智能眼镜、智能手环（手表）等智能穿戴设备不低于95%，其中非金属外壳（塑料、陶瓷等低金属含量）的智能眼镜、智能手环（手表）类不低于85%；蓝牙耳机、微型摄像（录音）设备、其他具备收发信息功能的微型电子设备不低于90%，其中非金属外壳类不低于85%。针对非金属外壳微型电子设备提交感知能力边界说明。</w:t>
      </w:r>
    </w:p>
    <w:p w14:paraId="106B3F46" w14:textId="77777777" w:rsidR="00E51C38" w:rsidRDefault="00000000">
      <w:pPr>
        <w:pStyle w:val="a2"/>
        <w:widowControl w:val="0"/>
        <w:spacing w:after="0"/>
        <w:ind w:firstLine="616"/>
        <w:rPr>
          <w:rFonts w:ascii="仿宋_GB2312"/>
          <w:lang w:eastAsia="zh-CN"/>
        </w:rPr>
      </w:pPr>
      <w:r>
        <w:rPr>
          <w:rFonts w:ascii="仿宋_GB2312" w:hint="eastAsia"/>
          <w:lang w:eastAsia="zh-CN"/>
        </w:rPr>
        <w:t>承担方须同时提交不少于3个灵敏度档位下的“检出率--误报率”对照表，作为性能可核查依据。</w:t>
      </w:r>
    </w:p>
    <w:p w14:paraId="7D671EEB" w14:textId="77777777" w:rsidR="00E51C38" w:rsidRDefault="00000000">
      <w:pPr>
        <w:pStyle w:val="a2"/>
        <w:widowControl w:val="0"/>
        <w:spacing w:after="0"/>
        <w:ind w:firstLine="616"/>
        <w:rPr>
          <w:rFonts w:ascii="仿宋_GB2312"/>
          <w:lang w:eastAsia="zh-CN"/>
        </w:rPr>
      </w:pPr>
      <w:r>
        <w:rPr>
          <w:rFonts w:ascii="仿宋_GB2312" w:hint="eastAsia"/>
          <w:lang w:eastAsia="zh-CN"/>
        </w:rPr>
        <w:t>混检检出率：针对通行人员同时携带非授权电子设备与一般金属物品的典型混检场景（形成不少于20组标准化混检测试样本，每组重复测试不少于20次，且由不少于5名不同受检者完成，样本应覆盖不同藏匿部位、体型与着装条件），手机检出率不低于99</w:t>
      </w:r>
      <w:r>
        <w:rPr>
          <w:rFonts w:ascii="仿宋_GB2312" w:hint="eastAsia"/>
          <w:spacing w:val="5"/>
          <w:lang w:eastAsia="zh-CN"/>
        </w:rPr>
        <w:t>%</w:t>
      </w:r>
      <w:r>
        <w:rPr>
          <w:rFonts w:ascii="仿宋_GB2312" w:hint="eastAsia"/>
          <w:spacing w:val="4"/>
          <w:lang w:eastAsia="zh-CN"/>
        </w:rPr>
        <w:t>，</w:t>
      </w:r>
      <w:r>
        <w:rPr>
          <w:rFonts w:ascii="仿宋_GB2312" w:hint="eastAsia"/>
          <w:spacing w:val="5"/>
          <w:lang w:eastAsia="zh-CN"/>
        </w:rPr>
        <w:t>智能穿戴设备不低</w:t>
      </w:r>
      <w:r>
        <w:rPr>
          <w:rFonts w:ascii="仿宋_GB2312" w:hint="eastAsia"/>
          <w:spacing w:val="4"/>
          <w:lang w:eastAsia="zh-CN"/>
        </w:rPr>
        <w:t>于</w:t>
      </w:r>
      <w:r>
        <w:rPr>
          <w:rFonts w:ascii="仿宋_GB2312" w:hint="eastAsia"/>
          <w:lang w:eastAsia="zh-CN"/>
        </w:rPr>
        <w:t>92</w:t>
      </w:r>
      <w:r>
        <w:rPr>
          <w:rFonts w:ascii="仿宋_GB2312" w:hint="eastAsia"/>
          <w:spacing w:val="5"/>
          <w:lang w:eastAsia="zh-CN"/>
        </w:rPr>
        <w:t>%</w:t>
      </w:r>
      <w:r>
        <w:rPr>
          <w:rFonts w:ascii="仿宋_GB2312" w:hint="eastAsia"/>
          <w:spacing w:val="4"/>
          <w:lang w:eastAsia="zh-CN"/>
        </w:rPr>
        <w:t>，</w:t>
      </w:r>
      <w:r>
        <w:rPr>
          <w:rFonts w:ascii="仿宋_GB2312" w:hint="eastAsia"/>
          <w:spacing w:val="5"/>
          <w:lang w:eastAsia="zh-CN"/>
        </w:rPr>
        <w:t>其他微型电子设备不低</w:t>
      </w:r>
      <w:r>
        <w:rPr>
          <w:rFonts w:ascii="仿宋_GB2312" w:hint="eastAsia"/>
          <w:spacing w:val="-45"/>
          <w:lang w:eastAsia="zh-CN"/>
        </w:rPr>
        <w:t>于</w:t>
      </w:r>
      <w:r>
        <w:rPr>
          <w:rFonts w:ascii="仿宋_GB2312" w:hint="eastAsia"/>
          <w:lang w:eastAsia="zh-CN"/>
        </w:rPr>
        <w:t>85%。</w:t>
      </w:r>
    </w:p>
    <w:p w14:paraId="781A09F0" w14:textId="77777777" w:rsidR="00E51C38" w:rsidRDefault="00000000">
      <w:pPr>
        <w:pStyle w:val="a2"/>
        <w:widowControl w:val="0"/>
        <w:spacing w:after="0"/>
        <w:ind w:firstLine="616"/>
        <w:rPr>
          <w:rFonts w:ascii="仿宋_GB2312"/>
          <w:lang w:eastAsia="zh-CN"/>
        </w:rPr>
      </w:pPr>
      <w:r>
        <w:rPr>
          <w:rFonts w:ascii="仿宋_GB2312" w:hint="eastAsia"/>
          <w:lang w:eastAsia="zh-CN"/>
        </w:rPr>
        <w:t>定位准确率与误报率：在正确识别非授权电子设备基础上，藏</w:t>
      </w:r>
      <w:r>
        <w:rPr>
          <w:rFonts w:ascii="仿宋_GB2312" w:hint="eastAsia"/>
          <w:lang w:eastAsia="zh-CN"/>
        </w:rPr>
        <w:lastRenderedPageBreak/>
        <w:t>匿区域定位准确率不低于90%。对日常金属物品（皮带扣、钥匙、眼镜架、拉链、饰品、文具等）的误报率不高于1%。误报率验证的累计通过人次不少于1000人次。单台安检门在标准运行流程下通行效率不低于30人/分钟。</w:t>
      </w:r>
    </w:p>
    <w:p w14:paraId="19FC4409" w14:textId="77777777" w:rsidR="00E51C38" w:rsidRDefault="00000000">
      <w:pPr>
        <w:pStyle w:val="31"/>
        <w:widowControl w:val="0"/>
        <w:spacing w:after="0"/>
        <w:ind w:firstLine="640"/>
        <w:rPr>
          <w:rFonts w:ascii="仿宋_GB2312"/>
          <w:lang w:eastAsia="zh-CN"/>
        </w:rPr>
      </w:pPr>
      <w:bookmarkStart w:id="1" w:name="二平台组网与智慧管理指标"/>
      <w:bookmarkEnd w:id="0"/>
      <w:r>
        <w:rPr>
          <w:rFonts w:ascii="仿宋_GB2312" w:hint="eastAsia"/>
          <w:lang w:eastAsia="zh-CN"/>
        </w:rPr>
        <w:t>2.平台组网与智慧管理指标</w:t>
      </w:r>
    </w:p>
    <w:p w14:paraId="7DCACCE1" w14:textId="77777777" w:rsidR="00E51C38" w:rsidRDefault="00000000">
      <w:pPr>
        <w:pStyle w:val="FirstParagraph"/>
        <w:widowControl w:val="0"/>
        <w:spacing w:after="0"/>
        <w:ind w:firstLine="616"/>
        <w:rPr>
          <w:rFonts w:ascii="仿宋_GB2312"/>
          <w:lang w:eastAsia="zh-CN"/>
        </w:rPr>
      </w:pPr>
      <w:r>
        <w:rPr>
          <w:rFonts w:ascii="仿宋_GB2312" w:hint="eastAsia"/>
          <w:lang w:eastAsia="zh-CN"/>
        </w:rPr>
        <w:t>构建多门协同组网与数据管理系统，支持单场景不少于10台安检门统一参数配置、远程状态监控与报警数据汇总，实现安检报警信息、通行人数、设备运行状态实时自动汇总和上报，支持按场景、时段、设备维度生成安检数据智能分析报告，可实现报警高发时段、高发藏匿部位聚类分析，自动生成风险预警清单，输出优化安检管控建议。优化安检门</w:t>
      </w:r>
      <w:r>
        <w:rPr>
          <w:rFonts w:ascii="仿宋_GB2312" w:hint="eastAsia"/>
          <w:spacing w:val="4"/>
          <w:lang w:eastAsia="zh-CN"/>
        </w:rPr>
        <w:t>与场景管理方现有平台数据接口，实现安检结果准确关联与实</w:t>
      </w:r>
      <w:r>
        <w:rPr>
          <w:rFonts w:ascii="仿宋_GB2312" w:hint="eastAsia"/>
          <w:lang w:eastAsia="zh-CN"/>
        </w:rPr>
        <w:t>时上传。</w:t>
      </w:r>
    </w:p>
    <w:p w14:paraId="6822DC1B" w14:textId="77777777" w:rsidR="00E51C38" w:rsidRDefault="00000000">
      <w:pPr>
        <w:pStyle w:val="31"/>
        <w:widowControl w:val="0"/>
        <w:spacing w:after="0"/>
        <w:ind w:firstLine="640"/>
        <w:rPr>
          <w:rFonts w:ascii="仿宋_GB2312"/>
          <w:lang w:eastAsia="zh-CN"/>
        </w:rPr>
      </w:pPr>
      <w:bookmarkStart w:id="2" w:name="三安全合规标准引领与示范应用指标"/>
      <w:bookmarkEnd w:id="1"/>
      <w:r>
        <w:rPr>
          <w:rFonts w:ascii="仿宋_GB2312" w:hint="eastAsia"/>
          <w:lang w:eastAsia="zh-CN"/>
        </w:rPr>
        <w:t>3.安全合规、标准引领与示范应用指标</w:t>
      </w:r>
    </w:p>
    <w:p w14:paraId="1C62E821" w14:textId="77777777" w:rsidR="00E51C38" w:rsidRDefault="00000000">
      <w:pPr>
        <w:pStyle w:val="FirstParagraph"/>
        <w:widowControl w:val="0"/>
        <w:spacing w:after="0"/>
        <w:ind w:firstLine="616"/>
        <w:rPr>
          <w:rFonts w:ascii="仿宋_GB2312"/>
          <w:lang w:eastAsia="zh-CN"/>
        </w:rPr>
      </w:pPr>
      <w:r>
        <w:rPr>
          <w:rFonts w:ascii="仿宋_GB2312" w:hint="eastAsia"/>
          <w:lang w:eastAsia="zh-CN"/>
        </w:rPr>
        <w:t>核心探测模块国产化率不低于60%，系统须连续72小时无故障运行，并通过相关信息安全等级保护认证。推动行业标准或国家标准制定，参与行业标准或国家标准立项申报。</w:t>
      </w:r>
    </w:p>
    <w:p w14:paraId="196FF82E" w14:textId="77777777" w:rsidR="00E51C38" w:rsidRDefault="00000000">
      <w:pPr>
        <w:pStyle w:val="a2"/>
        <w:widowControl w:val="0"/>
        <w:spacing w:after="0"/>
        <w:ind w:firstLine="616"/>
        <w:rPr>
          <w:rFonts w:ascii="仿宋_GB2312"/>
          <w:lang w:eastAsia="zh-CN"/>
        </w:rPr>
      </w:pPr>
      <w:r>
        <w:rPr>
          <w:rFonts w:ascii="仿宋_GB2312" w:hint="eastAsia"/>
          <w:lang w:eastAsia="zh-CN"/>
        </w:rPr>
        <w:t>完成实际公共场景示范应用，覆盖重点场所不少于20个，服务通行人员不少于2万人次，形成涵盖设备部署、运行数据、问题反馈、优化建议的示范应用报告。</w:t>
      </w:r>
    </w:p>
    <w:bookmarkEnd w:id="2"/>
    <w:p w14:paraId="7790CD68" w14:textId="77777777" w:rsidR="00E51C38" w:rsidRDefault="00000000">
      <w:pPr>
        <w:widowControl w:val="0"/>
        <w:spacing w:after="0" w:line="560" w:lineRule="exact"/>
        <w:ind w:firstLineChars="200" w:firstLine="640"/>
        <w:jc w:val="both"/>
        <w:rPr>
          <w:rFonts w:ascii="楷体_GB2312" w:eastAsia="楷体_GB2312" w:hAnsi="Calibri" w:cs="Times New Roman"/>
          <w:kern w:val="2"/>
          <w:sz w:val="32"/>
          <w:szCs w:val="32"/>
          <w:lang w:eastAsia="zh-CN"/>
        </w:rPr>
      </w:pPr>
      <w:r>
        <w:rPr>
          <w:rFonts w:ascii="楷体_GB2312" w:eastAsia="楷体_GB2312" w:hAnsi="Calibri" w:cs="Times New Roman" w:hint="eastAsia"/>
          <w:kern w:val="2"/>
          <w:sz w:val="32"/>
          <w:szCs w:val="32"/>
          <w:lang w:eastAsia="zh-CN"/>
        </w:rPr>
        <w:t>（三）项目交付成果</w:t>
      </w:r>
    </w:p>
    <w:p w14:paraId="092500AD" w14:textId="77777777" w:rsidR="00E51C38" w:rsidRDefault="00000000">
      <w:pPr>
        <w:pStyle w:val="a2"/>
        <w:widowControl w:val="0"/>
        <w:spacing w:after="0"/>
        <w:ind w:firstLineChars="0" w:firstLine="618"/>
        <w:rPr>
          <w:rFonts w:ascii="仿宋_GB2312"/>
          <w:lang w:eastAsia="zh-CN"/>
        </w:rPr>
      </w:pPr>
      <w:r>
        <w:rPr>
          <w:rFonts w:ascii="仿宋_GB2312" w:hint="eastAsia"/>
          <w:lang w:eastAsia="zh-CN"/>
        </w:rPr>
        <w:lastRenderedPageBreak/>
        <w:t>1.</w:t>
      </w:r>
      <w:r>
        <w:rPr>
          <w:rFonts w:ascii="仿宋_GB2312" w:hint="eastAsia"/>
          <w:spacing w:val="1"/>
          <w:lang w:eastAsia="zh-CN"/>
        </w:rPr>
        <w:t>20套能独立运行的高精度智能安检门，支持多门协同组网与统</w:t>
      </w:r>
      <w:r>
        <w:rPr>
          <w:rFonts w:ascii="仿宋_GB2312" w:hint="eastAsia"/>
          <w:lang w:eastAsia="zh-CN"/>
        </w:rPr>
        <w:t>一管理。</w:t>
      </w:r>
    </w:p>
    <w:p w14:paraId="6B97A3EB" w14:textId="77777777" w:rsidR="00E51C38" w:rsidRDefault="00000000">
      <w:pPr>
        <w:pStyle w:val="a2"/>
        <w:widowControl w:val="0"/>
        <w:spacing w:after="0"/>
        <w:ind w:firstLineChars="0" w:firstLine="618"/>
        <w:rPr>
          <w:rFonts w:ascii="仿宋_GB2312"/>
          <w:lang w:eastAsia="zh-CN"/>
        </w:rPr>
      </w:pPr>
      <w:r>
        <w:rPr>
          <w:rFonts w:ascii="仿宋_GB2312" w:hint="eastAsia"/>
          <w:lang w:eastAsia="zh-CN"/>
        </w:rPr>
        <w:t>2.安检门智慧数据管理系统1套。</w:t>
      </w:r>
    </w:p>
    <w:p w14:paraId="33785B9E" w14:textId="77777777" w:rsidR="00E51C38" w:rsidRDefault="00000000">
      <w:pPr>
        <w:pStyle w:val="a2"/>
        <w:widowControl w:val="0"/>
        <w:spacing w:after="0"/>
        <w:ind w:firstLineChars="0" w:firstLine="0"/>
        <w:rPr>
          <w:rFonts w:ascii="仿宋_GB2312"/>
          <w:lang w:eastAsia="zh-CN"/>
        </w:rPr>
      </w:pPr>
      <w:r>
        <w:rPr>
          <w:rFonts w:ascii="仿宋_GB2312" w:hint="eastAsia"/>
          <w:lang w:eastAsia="zh-CN"/>
        </w:rPr>
        <w:t xml:space="preserve">    3.标准化测试数据集1套。建立特殊公共场景专用测试验证体系，形成不少于50件非授权电子设备样本、不少于200组日常金属物品样本的标准化测试数据集。测试数据集与测试规范等作为公共资产，由场景管理方共享。</w:t>
      </w:r>
    </w:p>
    <w:p w14:paraId="2B5F8FF2" w14:textId="77777777" w:rsidR="00E51C38" w:rsidRDefault="00000000">
      <w:pPr>
        <w:pStyle w:val="a2"/>
        <w:widowControl w:val="0"/>
        <w:spacing w:after="0"/>
        <w:ind w:firstLineChars="0" w:firstLine="618"/>
        <w:rPr>
          <w:rFonts w:ascii="仿宋_GB2312"/>
          <w:lang w:eastAsia="zh-CN"/>
        </w:rPr>
      </w:pPr>
      <w:r>
        <w:rPr>
          <w:rFonts w:ascii="仿宋_GB2312" w:hint="eastAsia"/>
          <w:lang w:eastAsia="zh-CN"/>
        </w:rPr>
        <w:t>4.AI智能安检门地方行业标准或地方标准草案不少于1项。</w:t>
      </w:r>
    </w:p>
    <w:p w14:paraId="0C21FEB3" w14:textId="77777777" w:rsidR="00E51C38" w:rsidRDefault="00000000">
      <w:pPr>
        <w:widowControl w:val="0"/>
        <w:spacing w:after="0" w:line="560" w:lineRule="exact"/>
        <w:ind w:firstLineChars="200" w:firstLine="640"/>
        <w:jc w:val="both"/>
        <w:rPr>
          <w:rFonts w:ascii="楷体_GB2312" w:eastAsia="楷体_GB2312" w:hAnsi="Calibri" w:cs="Times New Roman"/>
          <w:kern w:val="2"/>
          <w:sz w:val="32"/>
          <w:szCs w:val="32"/>
          <w:lang w:eastAsia="zh-CN"/>
        </w:rPr>
      </w:pPr>
      <w:r>
        <w:rPr>
          <w:rFonts w:ascii="楷体_GB2312" w:eastAsia="楷体_GB2312" w:hAnsi="Calibri" w:cs="Times New Roman" w:hint="eastAsia"/>
          <w:kern w:val="2"/>
          <w:sz w:val="32"/>
          <w:szCs w:val="32"/>
          <w:lang w:eastAsia="zh-CN"/>
        </w:rPr>
        <w:t>（四）项目周期</w:t>
      </w:r>
    </w:p>
    <w:p w14:paraId="0F34CCF5"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不超过1年。其中，2027年5月底前需交付成果1-3的</w:t>
      </w:r>
      <w:r>
        <w:rPr>
          <w:rFonts w:ascii="仿宋_GB2312"/>
          <w:lang w:eastAsia="zh-CN"/>
        </w:rPr>
        <w:t>测试版</w:t>
      </w:r>
      <w:r>
        <w:rPr>
          <w:rFonts w:ascii="仿宋_GB2312" w:hint="eastAsia"/>
          <w:lang w:eastAsia="zh-CN"/>
        </w:rPr>
        <w:t>。</w:t>
      </w:r>
    </w:p>
    <w:p w14:paraId="77A781C2"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（五）</w:t>
      </w:r>
      <w:r>
        <w:rPr>
          <w:rFonts w:ascii="楷体_GB2312" w:eastAsia="楷体_GB2312"/>
          <w:kern w:val="2"/>
          <w:sz w:val="32"/>
          <w:szCs w:val="32"/>
          <w:lang w:eastAsia="zh-CN"/>
        </w:rPr>
        <w:t>榜单金额</w:t>
      </w:r>
    </w:p>
    <w:p w14:paraId="7029D680" w14:textId="77777777" w:rsidR="00E51C38" w:rsidRDefault="00000000">
      <w:pPr>
        <w:pStyle w:val="a2"/>
        <w:widowControl w:val="0"/>
        <w:numPr>
          <w:ilvl w:val="255"/>
          <w:numId w:val="0"/>
        </w:numPr>
        <w:spacing w:after="0"/>
        <w:ind w:firstLine="618"/>
        <w:rPr>
          <w:rFonts w:ascii="仿宋_GB2312"/>
          <w:lang w:eastAsia="zh-CN"/>
        </w:rPr>
      </w:pPr>
      <w:r>
        <w:rPr>
          <w:rFonts w:ascii="仿宋_GB2312"/>
          <w:lang w:eastAsia="zh-CN"/>
        </w:rPr>
        <w:t>不超过500万。</w:t>
      </w:r>
    </w:p>
    <w:p w14:paraId="1016E36A" w14:textId="77777777" w:rsidR="00E51C38" w:rsidRDefault="00000000">
      <w:pPr>
        <w:widowControl w:val="0"/>
        <w:spacing w:after="0" w:line="560" w:lineRule="exact"/>
        <w:rPr>
          <w:rFonts w:ascii="Times New Roman" w:hAnsi="Times New Roman" w:cs="仿宋_GB2312"/>
          <w:spacing w:val="-6"/>
          <w:sz w:val="32"/>
          <w:szCs w:val="32"/>
          <w:lang w:eastAsia="zh-CN"/>
        </w:rPr>
      </w:pPr>
      <w:r>
        <w:rPr>
          <w:lang w:eastAsia="zh-CN"/>
        </w:rPr>
        <w:br w:type="page"/>
      </w:r>
    </w:p>
    <w:p w14:paraId="591F172C" w14:textId="77777777" w:rsidR="00E51C38" w:rsidRDefault="00000000">
      <w:pPr>
        <w:widowControl w:val="0"/>
        <w:spacing w:after="0" w:line="560" w:lineRule="exact"/>
        <w:ind w:firstLineChars="200" w:firstLine="640"/>
        <w:jc w:val="both"/>
        <w:rPr>
          <w:rFonts w:ascii="黑体" w:eastAsia="黑体" w:hAnsi="黑体" w:hint="eastAsia"/>
          <w:kern w:val="2"/>
          <w:sz w:val="32"/>
          <w:szCs w:val="32"/>
          <w:lang w:eastAsia="zh-CN"/>
        </w:rPr>
      </w:pPr>
      <w:r>
        <w:rPr>
          <w:rFonts w:ascii="黑体" w:eastAsia="黑体" w:hAnsi="黑体" w:hint="eastAsia"/>
          <w:kern w:val="2"/>
          <w:sz w:val="32"/>
          <w:szCs w:val="32"/>
          <w:lang w:eastAsia="zh-CN"/>
        </w:rPr>
        <w:lastRenderedPageBreak/>
        <w:t>榜单方向二：面向视频物联网络的安全风险感知大模型研发及示范应用</w:t>
      </w:r>
    </w:p>
    <w:p w14:paraId="18C8DFA2"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（一）需求目标</w:t>
      </w:r>
    </w:p>
    <w:p w14:paraId="6D380BDC"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针对视频物联网络终端规模庞大、部署环境开放、安全风险隐蔽性强、传统检测手段难以应对新型攻击等突出问题，开展面向视频物联网络的安全风险感知大模型研发与示范应用：构建覆盖典型行业场景、主流设备形态与主要攻击类型的高质量风险数据集，形成规范化标注与共享机制，支撑模型训练、调优与评测；突破视频、图像、文本等多模态安全数据的统一表征与深度理解技术，研发安全风险感知大模型，实现风险识别准确率与召回率提升、误报率下降，满足实时感知要求；开展规模化示范应用，接入大规模视频物联终端与平台，在真实网络环境中验证大模型的有效性、稳定性与实用性，全面提升视频物联网络安全防护能力。</w:t>
      </w:r>
    </w:p>
    <w:p w14:paraId="1A2BF81A"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（二）考核指标</w:t>
      </w:r>
    </w:p>
    <w:p w14:paraId="23D9B69E"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1.建设面向视频物联网安全风险感知的领域模型训练数据集，数据总量不少于5万条，涵盖视频物联网设备协议与标准规范数据、漏洞与风险情报数据、安全事件与告警研判数据、安全防护与应急处置数据。数据真实可溯源，且重复或高度相似数据占比不超过5%。</w:t>
      </w:r>
    </w:p>
    <w:p w14:paraId="723F9593"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2.研发面向视频物联网的安全风险感知大模型，通过开展领域知识注入、跨模态特征对齐、任务能力强化及安全对齐，重点解决</w:t>
      </w:r>
      <w:r>
        <w:rPr>
          <w:rFonts w:ascii="仿宋_GB2312" w:hint="eastAsia"/>
          <w:lang w:eastAsia="zh-CN"/>
        </w:rPr>
        <w:lastRenderedPageBreak/>
        <w:t>领域后训练中的灾难性遗忘、多任务干扰和跨场景泛化不足等问题。通过公开基准和公开数据集开展能力评价：通用视频理解方面，Video-MME（w/o subtitles）Overall Accuracy不低于72%；漏洞根因映射方面，CTI-RCM Accuracy不低于75%；ATT&amp;CK技战术映射方面，Cyber Bench MITRE Accuracy不低于75%；视频物联网络攻击检测方面，在UCI Kitsune Network Attack公开数据集的9类攻击场景上，宏平均ROC-AUC不低于95%。</w:t>
      </w:r>
    </w:p>
    <w:p w14:paraId="0C5A21DD"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3.开展面向视频物联网典型安全场景的模型应用验证。对模型的安全事件识别、重点风险检出、误报控制、跨场景泛化及风险研判能力进行评价。模型对典型安全事件的宏平均F1值不低于80%，对高风险攻击的召回率不低于85%，对正常运行及设备故障样本的误报率不高于5%；在未参与训练的设备型号、厂商或网络环境上，宏平均F1值不低于75%；对风险类型、ATT&amp;CK技战术及受影响资产等关键研判结论的准确率不低于80%。</w:t>
      </w:r>
    </w:p>
    <w:p w14:paraId="78D1DFB1"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（三）项目交付成果</w:t>
      </w:r>
    </w:p>
    <w:p w14:paraId="267F8349"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1.面向视频物联网的安全风险感知大模型1套（系统代码、权重文件、部署方案）；</w:t>
      </w:r>
    </w:p>
    <w:p w14:paraId="04DC5646"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2.视频物联网安全领域数据集；</w:t>
      </w:r>
    </w:p>
    <w:p w14:paraId="13E66B3D"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3.申请发明专利不少于1项。</w:t>
      </w:r>
    </w:p>
    <w:p w14:paraId="09ACB24B"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（四）项目周期</w:t>
      </w:r>
    </w:p>
    <w:p w14:paraId="4140A463"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lastRenderedPageBreak/>
        <w:t>不超过1年。</w:t>
      </w:r>
    </w:p>
    <w:p w14:paraId="67EF4C32"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（五）榜单金额</w:t>
      </w:r>
    </w:p>
    <w:p w14:paraId="624AF906" w14:textId="77777777" w:rsidR="00E51C38" w:rsidRDefault="00000000">
      <w:pPr>
        <w:pStyle w:val="a2"/>
        <w:widowControl w:val="0"/>
        <w:numPr>
          <w:ilvl w:val="255"/>
          <w:numId w:val="0"/>
        </w:numPr>
        <w:spacing w:after="0"/>
        <w:ind w:firstLine="618"/>
        <w:rPr>
          <w:rFonts w:ascii="仿宋_GB2312"/>
          <w:lang w:eastAsia="zh-CN"/>
        </w:rPr>
      </w:pPr>
      <w:r>
        <w:rPr>
          <w:rFonts w:ascii="仿宋_GB2312" w:hint="eastAsia"/>
          <w:lang w:eastAsia="zh-CN"/>
        </w:rPr>
        <w:t>不超过500万元。</w:t>
      </w:r>
    </w:p>
    <w:p w14:paraId="7140335E" w14:textId="77777777" w:rsidR="00E51C38" w:rsidRDefault="00000000">
      <w:pPr>
        <w:widowControl w:val="0"/>
        <w:spacing w:after="0" w:line="560" w:lineRule="exact"/>
        <w:rPr>
          <w:rFonts w:hAnsi="Calibri" w:cs="Times New Roman"/>
          <w:kern w:val="2"/>
          <w:sz w:val="32"/>
          <w:szCs w:val="32"/>
          <w:lang w:eastAsia="zh-CN" w:bidi="ar"/>
        </w:rPr>
      </w:pPr>
      <w:r>
        <w:rPr>
          <w:rFonts w:hAnsi="Calibri" w:cs="Times New Roman" w:hint="eastAsia"/>
          <w:kern w:val="2"/>
          <w:sz w:val="32"/>
          <w:szCs w:val="32"/>
          <w:lang w:eastAsia="zh-CN" w:bidi="ar"/>
        </w:rPr>
        <w:br w:type="page"/>
      </w:r>
    </w:p>
    <w:p w14:paraId="46FF9555" w14:textId="77777777" w:rsidR="00E51C38" w:rsidRDefault="00000000">
      <w:pPr>
        <w:widowControl w:val="0"/>
        <w:spacing w:after="0" w:line="560" w:lineRule="exact"/>
        <w:ind w:firstLineChars="200" w:firstLine="640"/>
        <w:outlineLvl w:val="3"/>
        <w:rPr>
          <w:rFonts w:ascii="Times New Roman Regular" w:eastAsia="黑体" w:hAnsi="Times New Roman Regular" w:cs="Times New Roman Regular"/>
          <w:bCs/>
          <w:sz w:val="32"/>
          <w:szCs w:val="32"/>
          <w:lang w:eastAsia="zh-CN"/>
        </w:rPr>
      </w:pPr>
      <w:r>
        <w:rPr>
          <w:rFonts w:ascii="黑体" w:eastAsia="黑体" w:hAnsi="黑体" w:hint="eastAsia"/>
          <w:kern w:val="2"/>
          <w:sz w:val="32"/>
          <w:szCs w:val="32"/>
          <w:lang w:eastAsia="zh-CN"/>
        </w:rPr>
        <w:lastRenderedPageBreak/>
        <w:t>榜单方向三：</w:t>
      </w:r>
      <w:r>
        <w:rPr>
          <w:rFonts w:ascii="Times New Roman Regular" w:eastAsia="黑体" w:hAnsi="Times New Roman Regular" w:cs="Times New Roman Regular"/>
          <w:bCs/>
          <w:sz w:val="32"/>
          <w:szCs w:val="32"/>
          <w:lang w:eastAsia="zh-CN"/>
        </w:rPr>
        <w:t>基于国产大模型的</w:t>
      </w:r>
      <w:r>
        <w:rPr>
          <w:rFonts w:ascii="Times New Roman Regular" w:eastAsia="黑体" w:hAnsi="Times New Roman Regular" w:cs="Times New Roman Regular" w:hint="eastAsia"/>
          <w:bCs/>
          <w:sz w:val="32"/>
          <w:szCs w:val="32"/>
          <w:lang w:eastAsia="zh-CN"/>
        </w:rPr>
        <w:t>人力资源管理</w:t>
      </w:r>
      <w:r>
        <w:rPr>
          <w:rFonts w:ascii="Times New Roman Regular" w:eastAsia="黑体" w:hAnsi="Times New Roman Regular" w:cs="Times New Roman Regular"/>
          <w:bCs/>
          <w:sz w:val="32"/>
          <w:szCs w:val="32"/>
          <w:lang w:eastAsia="zh-CN"/>
        </w:rPr>
        <w:t>智能体研发及示范应用</w:t>
      </w:r>
    </w:p>
    <w:p w14:paraId="5610C534"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（一）需求目标</w:t>
      </w:r>
    </w:p>
    <w:p w14:paraId="5C6A483C"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为深入</w:t>
      </w:r>
      <w:r>
        <w:rPr>
          <w:rFonts w:hAnsi="Times New Roman" w:cs="仿宋_GB2312" w:hint="eastAsia"/>
          <w:spacing w:val="-6"/>
          <w:sz w:val="32"/>
          <w:szCs w:val="32"/>
          <w:lang w:eastAsia="zh-CN"/>
        </w:rPr>
        <w:t>推进人工智能与人力资源管理工作深度融合，以科技创新驱动人力资源领域提质升级，助力北京高水平人才高地建设。</w:t>
      </w:r>
      <w:r>
        <w:rPr>
          <w:rFonts w:hAnsi="Times New Roman" w:cs="仿宋_GB2312"/>
          <w:spacing w:val="-6"/>
          <w:sz w:val="32"/>
          <w:szCs w:val="32"/>
          <w:lang w:eastAsia="zh-CN"/>
        </w:rPr>
        <w:t>针对当前</w:t>
      </w:r>
      <w:r>
        <w:rPr>
          <w:rFonts w:hAnsi="Times New Roman" w:cs="仿宋_GB2312" w:hint="eastAsia"/>
          <w:spacing w:val="-6"/>
          <w:sz w:val="32"/>
          <w:szCs w:val="32"/>
          <w:lang w:eastAsia="zh-CN"/>
        </w:rPr>
        <w:t>人力资源领域</w:t>
      </w:r>
      <w:r>
        <w:rPr>
          <w:rFonts w:hAnsi="Times New Roman" w:cs="仿宋_GB2312"/>
          <w:spacing w:val="-6"/>
          <w:sz w:val="32"/>
          <w:szCs w:val="32"/>
          <w:lang w:eastAsia="zh-CN"/>
        </w:rPr>
        <w:t>存在的数据分析</w:t>
      </w:r>
      <w:r>
        <w:rPr>
          <w:rFonts w:hAnsi="Times New Roman" w:cs="仿宋_GB2312" w:hint="eastAsia"/>
          <w:spacing w:val="-6"/>
          <w:sz w:val="32"/>
          <w:szCs w:val="32"/>
          <w:lang w:eastAsia="zh-CN"/>
        </w:rPr>
        <w:t>深度不足</w:t>
      </w:r>
      <w:r>
        <w:rPr>
          <w:rFonts w:hAnsi="Times New Roman" w:cs="仿宋_GB2312"/>
          <w:spacing w:val="-6"/>
          <w:sz w:val="32"/>
          <w:szCs w:val="32"/>
          <w:lang w:eastAsia="zh-CN"/>
        </w:rPr>
        <w:t>、业务开展精准性</w:t>
      </w:r>
      <w:r>
        <w:rPr>
          <w:rFonts w:hAnsi="Times New Roman" w:cs="仿宋_GB2312" w:hint="eastAsia"/>
          <w:spacing w:val="-6"/>
          <w:sz w:val="32"/>
          <w:szCs w:val="32"/>
          <w:lang w:eastAsia="zh-CN"/>
        </w:rPr>
        <w:t>待提高</w:t>
      </w:r>
      <w:r>
        <w:rPr>
          <w:rFonts w:hAnsi="Times New Roman" w:cs="仿宋_GB2312"/>
          <w:spacing w:val="-6"/>
          <w:sz w:val="32"/>
          <w:szCs w:val="32"/>
          <w:lang w:eastAsia="zh-CN"/>
        </w:rPr>
        <w:t>等痛点，本项目拟基于国产大模型，建设</w:t>
      </w:r>
      <w:r>
        <w:rPr>
          <w:rFonts w:hAnsi="Times New Roman" w:cs="仿宋_GB2312" w:hint="eastAsia"/>
          <w:spacing w:val="-6"/>
          <w:sz w:val="32"/>
          <w:szCs w:val="32"/>
          <w:lang w:eastAsia="zh-CN"/>
        </w:rPr>
        <w:t>人力资源管理</w:t>
      </w:r>
      <w:r>
        <w:rPr>
          <w:rFonts w:hAnsi="Times New Roman" w:cs="仿宋_GB2312"/>
          <w:spacing w:val="-6"/>
          <w:sz w:val="32"/>
          <w:szCs w:val="32"/>
          <w:lang w:eastAsia="zh-CN"/>
        </w:rPr>
        <w:t>智能体</w:t>
      </w:r>
      <w:r>
        <w:rPr>
          <w:rFonts w:hAnsi="Times New Roman" w:cs="仿宋_GB2312" w:hint="eastAsia"/>
          <w:spacing w:val="-6"/>
          <w:sz w:val="32"/>
          <w:szCs w:val="32"/>
          <w:lang w:eastAsia="zh-CN"/>
        </w:rPr>
        <w:t>系统</w:t>
      </w:r>
      <w:r>
        <w:rPr>
          <w:rFonts w:hAnsi="Times New Roman" w:cs="仿宋_GB2312"/>
          <w:spacing w:val="-6"/>
          <w:sz w:val="32"/>
          <w:szCs w:val="32"/>
          <w:lang w:eastAsia="zh-CN"/>
        </w:rPr>
        <w:t>。通过集成多模态语义理解与多模型调度技术，系统将实现</w:t>
      </w:r>
      <w:r>
        <w:rPr>
          <w:rFonts w:hAnsi="Times New Roman" w:cs="仿宋_GB2312" w:hint="eastAsia"/>
          <w:spacing w:val="-6"/>
          <w:sz w:val="32"/>
          <w:szCs w:val="32"/>
          <w:lang w:eastAsia="zh-CN"/>
        </w:rPr>
        <w:t>下列</w:t>
      </w:r>
      <w:r>
        <w:rPr>
          <w:rFonts w:hAnsi="Times New Roman" w:cs="仿宋_GB2312"/>
          <w:spacing w:val="-6"/>
          <w:sz w:val="32"/>
          <w:szCs w:val="32"/>
          <w:lang w:eastAsia="zh-CN"/>
        </w:rPr>
        <w:t>核心突破：其一，依托</w:t>
      </w:r>
      <w:r>
        <w:rPr>
          <w:rFonts w:hAnsi="Times New Roman" w:cs="仿宋_GB2312" w:hint="eastAsia"/>
          <w:spacing w:val="-6"/>
          <w:sz w:val="32"/>
          <w:szCs w:val="32"/>
          <w:lang w:eastAsia="zh-CN"/>
        </w:rPr>
        <w:t>组织管理团队</w:t>
      </w:r>
      <w:r>
        <w:rPr>
          <w:rFonts w:hAnsi="Times New Roman" w:cs="仿宋_GB2312"/>
          <w:spacing w:val="-6"/>
          <w:sz w:val="32"/>
          <w:szCs w:val="32"/>
          <w:lang w:eastAsia="zh-CN"/>
        </w:rPr>
        <w:t>运行数据融合分析技术，</w:t>
      </w:r>
      <w:r>
        <w:rPr>
          <w:rFonts w:hAnsi="Times New Roman" w:cs="仿宋_GB2312" w:hint="eastAsia"/>
          <w:spacing w:val="-6"/>
          <w:sz w:val="32"/>
          <w:szCs w:val="32"/>
          <w:lang w:eastAsia="zh-CN"/>
        </w:rPr>
        <w:t>评估团队运行效能</w:t>
      </w:r>
      <w:r>
        <w:rPr>
          <w:rFonts w:hAnsi="Times New Roman" w:cs="仿宋_GB2312"/>
          <w:spacing w:val="-6"/>
          <w:sz w:val="32"/>
          <w:szCs w:val="32"/>
          <w:lang w:eastAsia="zh-CN"/>
        </w:rPr>
        <w:t>，</w:t>
      </w:r>
      <w:r>
        <w:rPr>
          <w:rFonts w:hAnsi="Times New Roman" w:cs="仿宋_GB2312" w:hint="eastAsia"/>
          <w:spacing w:val="-6"/>
          <w:sz w:val="32"/>
          <w:szCs w:val="32"/>
          <w:lang w:eastAsia="zh-CN"/>
        </w:rPr>
        <w:t>深化人岗匹配研究，</w:t>
      </w:r>
      <w:r>
        <w:rPr>
          <w:rFonts w:hAnsi="Times New Roman" w:cs="仿宋_GB2312"/>
          <w:spacing w:val="-6"/>
          <w:sz w:val="32"/>
          <w:szCs w:val="32"/>
          <w:lang w:eastAsia="zh-CN"/>
        </w:rPr>
        <w:t>赋能精准</w:t>
      </w:r>
      <w:r>
        <w:rPr>
          <w:rFonts w:hAnsi="Times New Roman" w:cs="仿宋_GB2312" w:hint="eastAsia"/>
          <w:spacing w:val="-6"/>
          <w:sz w:val="32"/>
          <w:szCs w:val="32"/>
          <w:lang w:eastAsia="zh-CN"/>
        </w:rPr>
        <w:t>人力资源配置</w:t>
      </w:r>
      <w:r>
        <w:rPr>
          <w:rFonts w:hAnsi="Times New Roman" w:cs="仿宋_GB2312"/>
          <w:spacing w:val="-6"/>
          <w:sz w:val="32"/>
          <w:szCs w:val="32"/>
          <w:lang w:eastAsia="zh-CN"/>
        </w:rPr>
        <w:t>；其二，整合</w:t>
      </w:r>
      <w:r>
        <w:rPr>
          <w:rFonts w:hAnsi="Times New Roman" w:cs="仿宋_GB2312" w:hint="eastAsia"/>
          <w:spacing w:val="-6"/>
          <w:sz w:val="32"/>
          <w:szCs w:val="32"/>
          <w:lang w:eastAsia="zh-CN"/>
        </w:rPr>
        <w:t>多维度</w:t>
      </w:r>
      <w:r>
        <w:rPr>
          <w:rFonts w:hAnsi="Times New Roman" w:cs="仿宋_GB2312"/>
          <w:spacing w:val="-6"/>
          <w:sz w:val="32"/>
          <w:szCs w:val="32"/>
          <w:lang w:eastAsia="zh-CN"/>
        </w:rPr>
        <w:t>数据资源，</w:t>
      </w:r>
      <w:r>
        <w:rPr>
          <w:rFonts w:hAnsi="Times New Roman" w:cs="仿宋_GB2312" w:hint="eastAsia"/>
          <w:spacing w:val="-6"/>
          <w:sz w:val="32"/>
          <w:szCs w:val="32"/>
          <w:lang w:eastAsia="zh-CN"/>
        </w:rPr>
        <w:t>绘制人员画像</w:t>
      </w:r>
      <w:r>
        <w:rPr>
          <w:rFonts w:hAnsi="Times New Roman" w:cs="仿宋_GB2312"/>
          <w:spacing w:val="-6"/>
          <w:sz w:val="32"/>
          <w:szCs w:val="32"/>
          <w:lang w:eastAsia="zh-CN"/>
        </w:rPr>
        <w:t>，支撑</w:t>
      </w:r>
      <w:r>
        <w:rPr>
          <w:rFonts w:hAnsi="Times New Roman" w:cs="仿宋_GB2312" w:hint="eastAsia"/>
          <w:spacing w:val="-6"/>
          <w:sz w:val="32"/>
          <w:szCs w:val="32"/>
          <w:lang w:eastAsia="zh-CN"/>
        </w:rPr>
        <w:t>人力资源综合评价工作开展</w:t>
      </w:r>
      <w:r>
        <w:rPr>
          <w:rFonts w:hAnsi="Times New Roman" w:cs="仿宋_GB2312"/>
          <w:spacing w:val="-6"/>
          <w:sz w:val="32"/>
          <w:szCs w:val="32"/>
          <w:lang w:eastAsia="zh-CN"/>
        </w:rPr>
        <w:t>；其三，结合场景化内容</w:t>
      </w:r>
      <w:r>
        <w:rPr>
          <w:rFonts w:hAnsi="Times New Roman" w:cs="仿宋_GB2312" w:hint="eastAsia"/>
          <w:spacing w:val="-6"/>
          <w:sz w:val="32"/>
          <w:szCs w:val="32"/>
          <w:lang w:eastAsia="zh-CN"/>
        </w:rPr>
        <w:t>模拟和推荐</w:t>
      </w:r>
      <w:r>
        <w:rPr>
          <w:rFonts w:hAnsi="Times New Roman" w:cs="仿宋_GB2312"/>
          <w:spacing w:val="-6"/>
          <w:sz w:val="32"/>
          <w:szCs w:val="32"/>
          <w:lang w:eastAsia="zh-CN"/>
        </w:rPr>
        <w:t>技术</w:t>
      </w:r>
      <w:r>
        <w:rPr>
          <w:rFonts w:hAnsi="Times New Roman" w:cs="仿宋_GB2312" w:hint="eastAsia"/>
          <w:spacing w:val="-6"/>
          <w:sz w:val="32"/>
          <w:szCs w:val="32"/>
          <w:lang w:eastAsia="zh-CN"/>
        </w:rPr>
        <w:t>，自动生成模拟演练场景，精准推送培训素材</w:t>
      </w:r>
      <w:r>
        <w:rPr>
          <w:rFonts w:hAnsi="Times New Roman" w:cs="仿宋_GB2312"/>
          <w:spacing w:val="-6"/>
          <w:sz w:val="32"/>
          <w:szCs w:val="32"/>
          <w:lang w:eastAsia="zh-CN"/>
        </w:rPr>
        <w:t>，提升</w:t>
      </w:r>
      <w:r>
        <w:rPr>
          <w:rFonts w:hAnsi="Times New Roman" w:cs="仿宋_GB2312" w:hint="eastAsia"/>
          <w:spacing w:val="-6"/>
          <w:sz w:val="32"/>
          <w:szCs w:val="32"/>
          <w:lang w:eastAsia="zh-CN"/>
        </w:rPr>
        <w:t>人力资源</w:t>
      </w:r>
      <w:r>
        <w:rPr>
          <w:rFonts w:hAnsi="Times New Roman" w:cs="仿宋_GB2312"/>
          <w:spacing w:val="-6"/>
          <w:sz w:val="32"/>
          <w:szCs w:val="32"/>
          <w:lang w:eastAsia="zh-CN"/>
        </w:rPr>
        <w:t>培训质效；其四，依托</w:t>
      </w:r>
      <w:r>
        <w:rPr>
          <w:rFonts w:hAnsi="Times New Roman" w:cs="仿宋_GB2312" w:hint="eastAsia"/>
          <w:spacing w:val="-6"/>
          <w:sz w:val="32"/>
          <w:szCs w:val="32"/>
          <w:lang w:eastAsia="zh-CN"/>
        </w:rPr>
        <w:t>人力资源领域</w:t>
      </w:r>
      <w:r>
        <w:rPr>
          <w:rFonts w:hAnsi="Times New Roman" w:cs="仿宋_GB2312"/>
          <w:spacing w:val="-6"/>
          <w:sz w:val="32"/>
          <w:szCs w:val="32"/>
          <w:lang w:eastAsia="zh-CN"/>
        </w:rPr>
        <w:t>知识库和知识图谱，形成分级分类的知识体系，加强</w:t>
      </w:r>
      <w:r>
        <w:rPr>
          <w:rFonts w:hAnsi="Times New Roman" w:cs="仿宋_GB2312" w:hint="eastAsia"/>
          <w:spacing w:val="-6"/>
          <w:sz w:val="32"/>
          <w:szCs w:val="32"/>
          <w:lang w:eastAsia="zh-CN"/>
        </w:rPr>
        <w:t>工作</w:t>
      </w:r>
      <w:r>
        <w:rPr>
          <w:rFonts w:hAnsi="Times New Roman" w:cs="仿宋_GB2312"/>
          <w:spacing w:val="-6"/>
          <w:sz w:val="32"/>
          <w:szCs w:val="32"/>
          <w:lang w:eastAsia="zh-CN"/>
        </w:rPr>
        <w:t>传承。项目旨在通过AI技术深度赋能</w:t>
      </w:r>
      <w:r>
        <w:rPr>
          <w:rFonts w:hAnsi="Times New Roman" w:cs="仿宋_GB2312" w:hint="eastAsia"/>
          <w:spacing w:val="-6"/>
          <w:sz w:val="32"/>
          <w:szCs w:val="32"/>
          <w:lang w:eastAsia="zh-CN"/>
        </w:rPr>
        <w:t>人力资源管理</w:t>
      </w:r>
      <w:r>
        <w:rPr>
          <w:rFonts w:hAnsi="Times New Roman" w:cs="仿宋_GB2312"/>
          <w:spacing w:val="-6"/>
          <w:sz w:val="32"/>
          <w:szCs w:val="32"/>
          <w:lang w:eastAsia="zh-CN"/>
        </w:rPr>
        <w:t>，</w:t>
      </w:r>
      <w:r>
        <w:rPr>
          <w:rFonts w:hAnsi="Times New Roman" w:cs="仿宋_GB2312" w:hint="eastAsia"/>
          <w:spacing w:val="-6"/>
          <w:sz w:val="32"/>
          <w:szCs w:val="32"/>
          <w:lang w:eastAsia="zh-CN"/>
        </w:rPr>
        <w:t>在行业内</w:t>
      </w:r>
      <w:r>
        <w:rPr>
          <w:rFonts w:hAnsi="Times New Roman" w:cs="仿宋_GB2312"/>
          <w:spacing w:val="-6"/>
          <w:sz w:val="32"/>
          <w:szCs w:val="32"/>
          <w:lang w:eastAsia="zh-CN"/>
        </w:rPr>
        <w:t>形成可复制可推广的</w:t>
      </w:r>
      <w:r>
        <w:rPr>
          <w:rFonts w:hAnsi="Times New Roman" w:cs="仿宋_GB2312" w:hint="eastAsia"/>
          <w:spacing w:val="-6"/>
          <w:sz w:val="32"/>
          <w:szCs w:val="32"/>
          <w:lang w:eastAsia="zh-CN"/>
        </w:rPr>
        <w:t>探索经验</w:t>
      </w:r>
      <w:r>
        <w:rPr>
          <w:rFonts w:hAnsi="Times New Roman" w:cs="仿宋_GB2312"/>
          <w:spacing w:val="-6"/>
          <w:sz w:val="32"/>
          <w:szCs w:val="32"/>
          <w:lang w:eastAsia="zh-CN"/>
        </w:rPr>
        <w:t>。</w:t>
      </w:r>
    </w:p>
    <w:p w14:paraId="746218A9"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（二）考核指标</w:t>
      </w:r>
    </w:p>
    <w:p w14:paraId="7258F6B0"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1.研发</w:t>
      </w:r>
      <w:r>
        <w:rPr>
          <w:rFonts w:hAnsi="Times New Roman" w:cs="仿宋_GB2312" w:hint="eastAsia"/>
          <w:spacing w:val="-6"/>
          <w:sz w:val="32"/>
          <w:szCs w:val="32"/>
          <w:lang w:eastAsia="zh-CN"/>
        </w:rPr>
        <w:t>组织管理团队</w:t>
      </w:r>
      <w:r>
        <w:rPr>
          <w:rFonts w:hAnsi="Times New Roman" w:cs="仿宋_GB2312"/>
          <w:spacing w:val="-6"/>
          <w:sz w:val="32"/>
          <w:szCs w:val="32"/>
          <w:lang w:eastAsia="zh-CN"/>
        </w:rPr>
        <w:t>分析智能体，支撑</w:t>
      </w:r>
      <w:r>
        <w:rPr>
          <w:rFonts w:hAnsi="Times New Roman" w:cs="仿宋_GB2312" w:hint="eastAsia"/>
          <w:spacing w:val="-6"/>
          <w:sz w:val="32"/>
          <w:szCs w:val="32"/>
          <w:lang w:eastAsia="zh-CN"/>
        </w:rPr>
        <w:t>团队运行效能分析</w:t>
      </w:r>
      <w:r>
        <w:rPr>
          <w:rFonts w:hAnsi="Times New Roman" w:cs="仿宋_GB2312"/>
          <w:spacing w:val="-6"/>
          <w:sz w:val="32"/>
          <w:szCs w:val="32"/>
          <w:lang w:eastAsia="zh-CN"/>
        </w:rPr>
        <w:t>、</w:t>
      </w:r>
      <w:r>
        <w:rPr>
          <w:rFonts w:hAnsi="Times New Roman" w:cs="仿宋_GB2312" w:hint="eastAsia"/>
          <w:spacing w:val="-6"/>
          <w:sz w:val="32"/>
          <w:szCs w:val="32"/>
          <w:lang w:eastAsia="zh-CN"/>
        </w:rPr>
        <w:t>空缺</w:t>
      </w:r>
      <w:r>
        <w:rPr>
          <w:rFonts w:hAnsi="Times New Roman" w:cs="仿宋_GB2312"/>
          <w:spacing w:val="-6"/>
          <w:sz w:val="32"/>
          <w:szCs w:val="32"/>
          <w:lang w:eastAsia="zh-CN"/>
        </w:rPr>
        <w:t>岗位</w:t>
      </w:r>
      <w:r>
        <w:rPr>
          <w:rFonts w:hAnsi="Times New Roman" w:cs="仿宋_GB2312" w:hint="eastAsia"/>
          <w:spacing w:val="-6"/>
          <w:sz w:val="32"/>
          <w:szCs w:val="32"/>
          <w:lang w:eastAsia="zh-CN"/>
        </w:rPr>
        <w:t>人员</w:t>
      </w:r>
      <w:r>
        <w:rPr>
          <w:rFonts w:hAnsi="Times New Roman" w:cs="仿宋_GB2312"/>
          <w:spacing w:val="-6"/>
          <w:sz w:val="32"/>
          <w:szCs w:val="32"/>
          <w:lang w:eastAsia="zh-CN"/>
        </w:rPr>
        <w:t>智能匹配。</w:t>
      </w:r>
      <w:r>
        <w:rPr>
          <w:rFonts w:hAnsi="Times New Roman" w:cs="仿宋_GB2312" w:hint="eastAsia"/>
          <w:spacing w:val="-6"/>
          <w:sz w:val="32"/>
          <w:szCs w:val="32"/>
          <w:lang w:eastAsia="zh-CN"/>
        </w:rPr>
        <w:t>支持的管理团队运行</w:t>
      </w:r>
      <w:r>
        <w:rPr>
          <w:rFonts w:hAnsi="Times New Roman" w:cs="仿宋_GB2312"/>
          <w:spacing w:val="-6"/>
          <w:sz w:val="32"/>
          <w:szCs w:val="32"/>
          <w:lang w:eastAsia="zh-CN"/>
        </w:rPr>
        <w:t>分析维度不少于</w:t>
      </w:r>
      <w:r>
        <w:rPr>
          <w:rFonts w:hAnsi="Times New Roman" w:cs="仿宋_GB2312" w:hint="eastAsia"/>
          <w:spacing w:val="-6"/>
          <w:sz w:val="32"/>
          <w:szCs w:val="32"/>
          <w:lang w:eastAsia="zh-CN"/>
        </w:rPr>
        <w:t>5</w:t>
      </w:r>
      <w:r>
        <w:rPr>
          <w:rFonts w:hAnsi="Times New Roman" w:cs="仿宋_GB2312"/>
          <w:spacing w:val="-6"/>
          <w:sz w:val="32"/>
          <w:szCs w:val="32"/>
          <w:lang w:eastAsia="zh-CN"/>
        </w:rPr>
        <w:t>类</w:t>
      </w:r>
      <w:r>
        <w:rPr>
          <w:rFonts w:hAnsi="Times New Roman" w:cs="仿宋_GB2312" w:hint="eastAsia"/>
          <w:spacing w:val="-6"/>
          <w:sz w:val="32"/>
          <w:szCs w:val="32"/>
          <w:lang w:eastAsia="zh-CN"/>
        </w:rPr>
        <w:t>，</w:t>
      </w:r>
      <w:r>
        <w:rPr>
          <w:rFonts w:hAnsi="Times New Roman" w:cs="仿宋_GB2312"/>
          <w:spacing w:val="-6"/>
          <w:sz w:val="32"/>
          <w:szCs w:val="32"/>
          <w:lang w:eastAsia="zh-CN"/>
        </w:rPr>
        <w:t>空缺岗位</w:t>
      </w:r>
      <w:r>
        <w:rPr>
          <w:rFonts w:hAnsi="Times New Roman" w:cs="仿宋_GB2312" w:hint="eastAsia"/>
          <w:spacing w:val="-6"/>
          <w:sz w:val="32"/>
          <w:szCs w:val="32"/>
          <w:lang w:eastAsia="zh-CN"/>
        </w:rPr>
        <w:t>人员</w:t>
      </w:r>
      <w:r>
        <w:rPr>
          <w:rFonts w:hAnsi="Times New Roman" w:cs="仿宋_GB2312"/>
          <w:spacing w:val="-6"/>
          <w:sz w:val="32"/>
          <w:szCs w:val="32"/>
          <w:lang w:eastAsia="zh-CN"/>
        </w:rPr>
        <w:t>推荐T</w:t>
      </w:r>
      <w:r>
        <w:rPr>
          <w:rFonts w:hAnsi="Times New Roman" w:cs="仿宋_GB2312" w:hint="eastAsia"/>
          <w:spacing w:val="-6"/>
          <w:sz w:val="32"/>
          <w:szCs w:val="32"/>
          <w:lang w:eastAsia="zh-CN"/>
        </w:rPr>
        <w:t>op</w:t>
      </w:r>
      <w:r>
        <w:rPr>
          <w:rFonts w:hAnsi="Times New Roman" w:cs="仿宋_GB2312"/>
          <w:spacing w:val="-6"/>
          <w:sz w:val="32"/>
          <w:szCs w:val="32"/>
          <w:lang w:eastAsia="zh-CN"/>
        </w:rPr>
        <w:t>10准确率不低于95%，推荐理由</w:t>
      </w:r>
      <w:r>
        <w:rPr>
          <w:rFonts w:hAnsi="Times New Roman" w:cs="仿宋_GB2312" w:hint="eastAsia"/>
          <w:spacing w:val="-6"/>
          <w:sz w:val="32"/>
          <w:szCs w:val="32"/>
          <w:lang w:eastAsia="zh-CN"/>
        </w:rPr>
        <w:t>具备可解释性</w:t>
      </w:r>
      <w:r>
        <w:rPr>
          <w:rFonts w:hAnsi="Times New Roman" w:cs="仿宋_GB2312"/>
          <w:spacing w:val="-6"/>
          <w:sz w:val="32"/>
          <w:szCs w:val="32"/>
          <w:lang w:eastAsia="zh-CN"/>
        </w:rPr>
        <w:t>，</w:t>
      </w:r>
      <w:r>
        <w:rPr>
          <w:rFonts w:hAnsi="Times New Roman" w:cs="仿宋_GB2312"/>
          <w:spacing w:val="-6"/>
          <w:sz w:val="32"/>
          <w:szCs w:val="32"/>
          <w:lang w:eastAsia="zh-CN"/>
        </w:rPr>
        <w:lastRenderedPageBreak/>
        <w:t>支持</w:t>
      </w:r>
      <w:r>
        <w:rPr>
          <w:rFonts w:hAnsi="Times New Roman" w:cs="仿宋_GB2312" w:hint="eastAsia"/>
          <w:spacing w:val="-6"/>
          <w:sz w:val="32"/>
          <w:szCs w:val="32"/>
          <w:lang w:eastAsia="zh-CN"/>
        </w:rPr>
        <w:t>基于用户反馈</w:t>
      </w:r>
      <w:r>
        <w:rPr>
          <w:rFonts w:hAnsi="Times New Roman" w:cs="仿宋_GB2312"/>
          <w:spacing w:val="-6"/>
          <w:sz w:val="32"/>
          <w:szCs w:val="32"/>
          <w:lang w:eastAsia="zh-CN"/>
        </w:rPr>
        <w:t>数据</w:t>
      </w:r>
      <w:r>
        <w:rPr>
          <w:rFonts w:hAnsi="Times New Roman" w:cs="仿宋_GB2312" w:hint="eastAsia"/>
          <w:spacing w:val="-6"/>
          <w:sz w:val="32"/>
          <w:szCs w:val="32"/>
          <w:lang w:eastAsia="zh-CN"/>
        </w:rPr>
        <w:t>持续</w:t>
      </w:r>
      <w:r>
        <w:rPr>
          <w:rFonts w:hAnsi="Times New Roman" w:cs="仿宋_GB2312"/>
          <w:spacing w:val="-6"/>
          <w:sz w:val="32"/>
          <w:szCs w:val="32"/>
          <w:lang w:eastAsia="zh-CN"/>
        </w:rPr>
        <w:t>迭代优化。</w:t>
      </w:r>
    </w:p>
    <w:p w14:paraId="59FCC256"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2.研发</w:t>
      </w:r>
      <w:r>
        <w:rPr>
          <w:rFonts w:hAnsi="Times New Roman" w:cs="仿宋_GB2312" w:hint="eastAsia"/>
          <w:spacing w:val="-6"/>
          <w:sz w:val="32"/>
          <w:szCs w:val="32"/>
          <w:lang w:eastAsia="zh-CN"/>
        </w:rPr>
        <w:t>人员</w:t>
      </w:r>
      <w:r>
        <w:rPr>
          <w:rFonts w:hAnsi="Times New Roman" w:cs="仿宋_GB2312"/>
          <w:spacing w:val="-6"/>
          <w:sz w:val="32"/>
          <w:szCs w:val="32"/>
          <w:lang w:eastAsia="zh-CN"/>
        </w:rPr>
        <w:t>综合</w:t>
      </w:r>
      <w:r>
        <w:rPr>
          <w:rFonts w:hAnsi="Times New Roman" w:cs="仿宋_GB2312" w:hint="eastAsia"/>
          <w:spacing w:val="-6"/>
          <w:sz w:val="32"/>
          <w:szCs w:val="32"/>
          <w:lang w:eastAsia="zh-CN"/>
        </w:rPr>
        <w:t>评价</w:t>
      </w:r>
      <w:r>
        <w:rPr>
          <w:rFonts w:hAnsi="Times New Roman" w:cs="仿宋_GB2312"/>
          <w:spacing w:val="-6"/>
          <w:sz w:val="32"/>
          <w:szCs w:val="32"/>
          <w:lang w:eastAsia="zh-CN"/>
        </w:rPr>
        <w:t>智能体，辅助</w:t>
      </w:r>
      <w:r>
        <w:rPr>
          <w:rFonts w:hAnsi="Times New Roman" w:cs="仿宋_GB2312" w:hint="eastAsia"/>
          <w:spacing w:val="-6"/>
          <w:sz w:val="32"/>
          <w:szCs w:val="32"/>
          <w:lang w:eastAsia="zh-CN"/>
        </w:rPr>
        <w:t>开展人员画像。支持的人员画像综合分析维度不少于5类，覆盖评价标签不少于100类，支持标签体系的灵活拓展和评价逻辑自定义。适配组织更名重组等沿革变化的人员履历提取准确率不低于90%。支持人员关系图谱分析不少于5个维度，准确率不低于95%。支持生成人力资源评价材料初稿，并且与定稿语义相似度不低于70%。</w:t>
      </w:r>
    </w:p>
    <w:p w14:paraId="50B83595"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3.研发</w:t>
      </w:r>
      <w:r>
        <w:rPr>
          <w:rFonts w:hAnsi="Times New Roman" w:cs="仿宋_GB2312" w:hint="eastAsia"/>
          <w:spacing w:val="-6"/>
          <w:sz w:val="32"/>
          <w:szCs w:val="32"/>
          <w:lang w:eastAsia="zh-CN"/>
        </w:rPr>
        <w:t>人力资源</w:t>
      </w:r>
      <w:r>
        <w:rPr>
          <w:rFonts w:hAnsi="Times New Roman" w:cs="仿宋_GB2312"/>
          <w:spacing w:val="-6"/>
          <w:sz w:val="32"/>
          <w:szCs w:val="32"/>
          <w:lang w:eastAsia="zh-CN"/>
        </w:rPr>
        <w:t>培训智能体，</w:t>
      </w:r>
      <w:r>
        <w:rPr>
          <w:rFonts w:hAnsi="Times New Roman" w:cs="仿宋_GB2312" w:hint="eastAsia"/>
          <w:spacing w:val="-6"/>
          <w:sz w:val="32"/>
          <w:szCs w:val="32"/>
          <w:lang w:eastAsia="zh-CN"/>
        </w:rPr>
        <w:t>实现</w:t>
      </w:r>
      <w:r>
        <w:rPr>
          <w:rFonts w:hAnsi="Times New Roman" w:cs="仿宋_GB2312"/>
          <w:spacing w:val="-6"/>
          <w:sz w:val="32"/>
          <w:szCs w:val="32"/>
          <w:lang w:eastAsia="zh-CN"/>
        </w:rPr>
        <w:t>培训建议生成、模拟演练、</w:t>
      </w:r>
      <w:r>
        <w:rPr>
          <w:rFonts w:hAnsi="Times New Roman" w:cs="仿宋_GB2312" w:hint="eastAsia"/>
          <w:spacing w:val="-6"/>
          <w:sz w:val="32"/>
          <w:szCs w:val="32"/>
          <w:lang w:eastAsia="zh-CN"/>
        </w:rPr>
        <w:t>培训</w:t>
      </w:r>
      <w:r>
        <w:rPr>
          <w:rFonts w:hAnsi="Times New Roman" w:cs="仿宋_GB2312"/>
          <w:spacing w:val="-6"/>
          <w:sz w:val="32"/>
          <w:szCs w:val="32"/>
          <w:lang w:eastAsia="zh-CN"/>
        </w:rPr>
        <w:t>素材推送等功能。</w:t>
      </w:r>
      <w:r>
        <w:rPr>
          <w:rFonts w:hAnsi="Times New Roman" w:cs="仿宋_GB2312" w:hint="eastAsia"/>
          <w:spacing w:val="-6"/>
          <w:sz w:val="32"/>
          <w:szCs w:val="32"/>
          <w:lang w:eastAsia="zh-CN"/>
        </w:rPr>
        <w:t>可基于任职岗位特征和人员画像生成</w:t>
      </w:r>
      <w:r>
        <w:rPr>
          <w:rFonts w:hAnsi="Times New Roman" w:cs="仿宋_GB2312"/>
          <w:spacing w:val="-6"/>
          <w:sz w:val="32"/>
          <w:szCs w:val="32"/>
          <w:lang w:eastAsia="zh-CN"/>
        </w:rPr>
        <w:t>培训</w:t>
      </w:r>
      <w:r>
        <w:rPr>
          <w:rFonts w:hAnsi="Times New Roman" w:cs="仿宋_GB2312" w:hint="eastAsia"/>
          <w:spacing w:val="-6"/>
          <w:sz w:val="32"/>
          <w:szCs w:val="32"/>
          <w:lang w:eastAsia="zh-CN"/>
        </w:rPr>
        <w:t>方向</w:t>
      </w:r>
      <w:r>
        <w:rPr>
          <w:rFonts w:hAnsi="Times New Roman" w:cs="仿宋_GB2312"/>
          <w:spacing w:val="-6"/>
          <w:sz w:val="32"/>
          <w:szCs w:val="32"/>
          <w:lang w:eastAsia="zh-CN"/>
        </w:rPr>
        <w:t>建议，支持不少于3类业务场景的模拟演练，支持不少于</w:t>
      </w:r>
      <w:r>
        <w:rPr>
          <w:rFonts w:hAnsi="Times New Roman" w:cs="仿宋_GB2312" w:hint="eastAsia"/>
          <w:spacing w:val="-6"/>
          <w:sz w:val="32"/>
          <w:szCs w:val="32"/>
          <w:lang w:eastAsia="zh-CN"/>
        </w:rPr>
        <w:t>3</w:t>
      </w:r>
      <w:r>
        <w:rPr>
          <w:rFonts w:hAnsi="Times New Roman" w:cs="仿宋_GB2312"/>
          <w:spacing w:val="-6"/>
          <w:sz w:val="32"/>
          <w:szCs w:val="32"/>
          <w:lang w:eastAsia="zh-CN"/>
        </w:rPr>
        <w:t>类培训素材的智能推送。</w:t>
      </w:r>
    </w:p>
    <w:p w14:paraId="45EC74E3"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4</w:t>
      </w:r>
      <w:r>
        <w:rPr>
          <w:rFonts w:hAnsi="Times New Roman" w:cs="仿宋_GB2312"/>
          <w:spacing w:val="-6"/>
          <w:sz w:val="32"/>
          <w:szCs w:val="32"/>
          <w:lang w:eastAsia="zh-CN"/>
        </w:rPr>
        <w:t>.构建</w:t>
      </w:r>
      <w:r>
        <w:rPr>
          <w:rFonts w:hAnsi="Times New Roman" w:cs="仿宋_GB2312" w:hint="eastAsia"/>
          <w:spacing w:val="-6"/>
          <w:sz w:val="32"/>
          <w:szCs w:val="32"/>
          <w:lang w:eastAsia="zh-CN"/>
        </w:rPr>
        <w:t>人力资源</w:t>
      </w:r>
      <w:r>
        <w:rPr>
          <w:rFonts w:hAnsi="Times New Roman" w:cs="仿宋_GB2312"/>
          <w:spacing w:val="-6"/>
          <w:sz w:val="32"/>
          <w:szCs w:val="32"/>
          <w:lang w:eastAsia="zh-CN"/>
        </w:rPr>
        <w:t>知识</w:t>
      </w:r>
      <w:r>
        <w:rPr>
          <w:rFonts w:hAnsi="Times New Roman" w:cs="仿宋_GB2312" w:hint="eastAsia"/>
          <w:spacing w:val="-6"/>
          <w:sz w:val="32"/>
          <w:szCs w:val="32"/>
          <w:lang w:eastAsia="zh-CN"/>
        </w:rPr>
        <w:t>智能管理系统</w:t>
      </w:r>
      <w:r>
        <w:rPr>
          <w:rFonts w:hAnsi="Times New Roman" w:cs="仿宋_GB2312"/>
          <w:spacing w:val="-6"/>
          <w:sz w:val="32"/>
          <w:szCs w:val="32"/>
          <w:lang w:eastAsia="zh-CN"/>
        </w:rPr>
        <w:t>，</w:t>
      </w:r>
      <w:r>
        <w:rPr>
          <w:rFonts w:hAnsi="Times New Roman" w:cs="仿宋_GB2312" w:hint="eastAsia"/>
          <w:spacing w:val="-6"/>
          <w:sz w:val="32"/>
          <w:szCs w:val="32"/>
          <w:lang w:eastAsia="zh-CN"/>
        </w:rPr>
        <w:t>借助大模型</w:t>
      </w:r>
      <w:r>
        <w:rPr>
          <w:rFonts w:hAnsi="Times New Roman" w:cs="仿宋_GB2312"/>
          <w:spacing w:val="-6"/>
          <w:sz w:val="32"/>
          <w:szCs w:val="32"/>
          <w:lang w:eastAsia="zh-CN"/>
        </w:rPr>
        <w:t>完成</w:t>
      </w:r>
      <w:r>
        <w:rPr>
          <w:rFonts w:hAnsi="Times New Roman" w:cs="仿宋_GB2312" w:hint="eastAsia"/>
          <w:spacing w:val="-6"/>
          <w:sz w:val="32"/>
          <w:szCs w:val="32"/>
          <w:lang w:eastAsia="zh-CN"/>
        </w:rPr>
        <w:t>行业</w:t>
      </w:r>
      <w:r>
        <w:rPr>
          <w:rFonts w:hAnsi="Times New Roman" w:cs="仿宋_GB2312"/>
          <w:spacing w:val="-6"/>
          <w:sz w:val="32"/>
          <w:szCs w:val="32"/>
          <w:lang w:eastAsia="zh-CN"/>
        </w:rPr>
        <w:t>政策文件、业务沉淀素材</w:t>
      </w:r>
      <w:r>
        <w:rPr>
          <w:rFonts w:hAnsi="Times New Roman" w:cs="仿宋_GB2312" w:hint="eastAsia"/>
          <w:spacing w:val="-6"/>
          <w:sz w:val="32"/>
          <w:szCs w:val="32"/>
          <w:lang w:eastAsia="zh-CN"/>
        </w:rPr>
        <w:t>、日常工作积累等数据的知识库和知识图谱构建。支持的知识点不少于100万条、图谱实体类型不少于15类、关系类型不少于20类，图谱可容纳关系不少于200万对，支持不少于3层的知识分级浏览，支持不少于500名用户的个性化知识管理。</w:t>
      </w:r>
      <w:r>
        <w:rPr>
          <w:rFonts w:hAnsi="Times New Roman" w:cs="仿宋_GB2312"/>
          <w:spacing w:val="-6"/>
          <w:sz w:val="32"/>
          <w:szCs w:val="32"/>
          <w:lang w:eastAsia="zh-CN"/>
        </w:rPr>
        <w:t>支持</w:t>
      </w:r>
      <w:r>
        <w:rPr>
          <w:rFonts w:hAnsi="Times New Roman" w:cs="仿宋_GB2312" w:hint="eastAsia"/>
          <w:spacing w:val="-6"/>
          <w:sz w:val="32"/>
          <w:szCs w:val="32"/>
          <w:lang w:eastAsia="zh-CN"/>
        </w:rPr>
        <w:t>对知识的</w:t>
      </w:r>
      <w:r>
        <w:rPr>
          <w:rFonts w:hAnsi="Times New Roman" w:cs="仿宋_GB2312"/>
          <w:spacing w:val="-6"/>
          <w:sz w:val="32"/>
          <w:szCs w:val="32"/>
          <w:lang w:eastAsia="zh-CN"/>
        </w:rPr>
        <w:t>双模检索</w:t>
      </w:r>
      <w:r>
        <w:rPr>
          <w:rFonts w:hAnsi="Times New Roman" w:cs="仿宋_GB2312" w:hint="eastAsia"/>
          <w:spacing w:val="-6"/>
          <w:sz w:val="32"/>
          <w:szCs w:val="32"/>
          <w:lang w:eastAsia="zh-CN"/>
        </w:rPr>
        <w:t>和溯源</w:t>
      </w:r>
      <w:r>
        <w:rPr>
          <w:rFonts w:hAnsi="Times New Roman" w:cs="仿宋_GB2312"/>
          <w:spacing w:val="-6"/>
          <w:sz w:val="32"/>
          <w:szCs w:val="32"/>
          <w:lang w:eastAsia="zh-CN"/>
        </w:rPr>
        <w:t>，召回率</w:t>
      </w:r>
      <w:r>
        <w:rPr>
          <w:rFonts w:hAnsi="Times New Roman" w:cs="仿宋_GB2312" w:hint="eastAsia"/>
          <w:spacing w:val="-6"/>
          <w:sz w:val="32"/>
          <w:szCs w:val="32"/>
          <w:lang w:eastAsia="zh-CN"/>
        </w:rPr>
        <w:t>不低于</w:t>
      </w:r>
      <w:r>
        <w:rPr>
          <w:rFonts w:hAnsi="Times New Roman" w:cs="仿宋_GB2312"/>
          <w:spacing w:val="-6"/>
          <w:sz w:val="32"/>
          <w:szCs w:val="32"/>
          <w:lang w:eastAsia="zh-CN"/>
        </w:rPr>
        <w:t>90%</w:t>
      </w:r>
      <w:r>
        <w:rPr>
          <w:rFonts w:hAnsi="Times New Roman" w:cs="仿宋_GB2312" w:hint="eastAsia"/>
          <w:spacing w:val="-6"/>
          <w:sz w:val="32"/>
          <w:szCs w:val="32"/>
          <w:lang w:eastAsia="zh-CN"/>
        </w:rPr>
        <w:t>。</w:t>
      </w:r>
    </w:p>
    <w:p w14:paraId="1B4D078D"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5</w:t>
      </w:r>
      <w:r>
        <w:rPr>
          <w:rFonts w:hAnsi="Times New Roman" w:cs="仿宋_GB2312"/>
          <w:spacing w:val="-6"/>
          <w:sz w:val="32"/>
          <w:szCs w:val="32"/>
          <w:lang w:eastAsia="zh-CN"/>
        </w:rPr>
        <w:t>.构建</w:t>
      </w:r>
      <w:r>
        <w:rPr>
          <w:rFonts w:hAnsi="Times New Roman" w:cs="仿宋_GB2312" w:hint="eastAsia"/>
          <w:spacing w:val="-6"/>
          <w:sz w:val="32"/>
          <w:szCs w:val="32"/>
          <w:lang w:eastAsia="zh-CN"/>
        </w:rPr>
        <w:t>人力资源管理智能体系统，具备统一调度各业务智能体和知识智能管理系统的能力。支持接入智能体不少于10个，</w:t>
      </w:r>
      <w:r>
        <w:rPr>
          <w:rFonts w:hAnsi="Times New Roman" w:cs="仿宋_GB2312"/>
          <w:spacing w:val="-6"/>
          <w:sz w:val="32"/>
          <w:szCs w:val="32"/>
          <w:lang w:eastAsia="zh-CN"/>
        </w:rPr>
        <w:t>支持不少于3类</w:t>
      </w:r>
      <w:r>
        <w:rPr>
          <w:rFonts w:hAnsi="Times New Roman" w:cs="仿宋_GB2312" w:hint="eastAsia"/>
          <w:spacing w:val="-6"/>
          <w:sz w:val="32"/>
          <w:szCs w:val="32"/>
          <w:lang w:eastAsia="zh-CN"/>
        </w:rPr>
        <w:t>专用大</w:t>
      </w:r>
      <w:r>
        <w:rPr>
          <w:rFonts w:hAnsi="Times New Roman" w:cs="仿宋_GB2312"/>
          <w:spacing w:val="-6"/>
          <w:sz w:val="32"/>
          <w:szCs w:val="32"/>
          <w:lang w:eastAsia="zh-CN"/>
        </w:rPr>
        <w:t>模型的统一调度</w:t>
      </w:r>
      <w:r>
        <w:rPr>
          <w:rFonts w:hAnsi="Times New Roman" w:cs="仿宋_GB2312" w:hint="eastAsia"/>
          <w:spacing w:val="-6"/>
          <w:sz w:val="32"/>
          <w:szCs w:val="32"/>
          <w:lang w:eastAsia="zh-CN"/>
        </w:rPr>
        <w:t>执行和</w:t>
      </w:r>
      <w:r>
        <w:rPr>
          <w:rFonts w:hAnsi="Times New Roman" w:cs="仿宋_GB2312"/>
          <w:spacing w:val="-6"/>
          <w:sz w:val="32"/>
          <w:szCs w:val="32"/>
          <w:lang w:eastAsia="zh-CN"/>
        </w:rPr>
        <w:t>国产AI芯片适配</w:t>
      </w:r>
      <w:r>
        <w:rPr>
          <w:rFonts w:hAnsi="Times New Roman" w:cs="仿宋_GB2312" w:hint="eastAsia"/>
          <w:spacing w:val="-6"/>
          <w:sz w:val="32"/>
          <w:szCs w:val="32"/>
          <w:lang w:eastAsia="zh-CN"/>
        </w:rPr>
        <w:t>部署</w:t>
      </w:r>
      <w:r>
        <w:rPr>
          <w:rFonts w:hAnsi="Times New Roman" w:cs="仿宋_GB2312"/>
          <w:spacing w:val="-6"/>
          <w:sz w:val="32"/>
          <w:szCs w:val="32"/>
          <w:lang w:eastAsia="zh-CN"/>
        </w:rPr>
        <w:t>。</w:t>
      </w:r>
    </w:p>
    <w:p w14:paraId="752772F4"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kern w:val="2"/>
          <w:sz w:val="32"/>
          <w:szCs w:val="32"/>
          <w:lang w:eastAsia="zh-CN"/>
        </w:rPr>
        <w:lastRenderedPageBreak/>
        <w:t>（三）项目交付成果</w:t>
      </w:r>
    </w:p>
    <w:p w14:paraId="0571E677"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1.</w:t>
      </w:r>
      <w:r>
        <w:rPr>
          <w:rFonts w:hAnsi="Times New Roman" w:cs="仿宋_GB2312" w:hint="eastAsia"/>
          <w:spacing w:val="-6"/>
          <w:sz w:val="32"/>
          <w:szCs w:val="32"/>
          <w:lang w:eastAsia="zh-CN"/>
        </w:rPr>
        <w:t>人力资源管理智能体系统1套，包含组织管理团队分析智能体、人员综合评价智能体、人力资源培训智能体等</w:t>
      </w:r>
      <w:r>
        <w:rPr>
          <w:rFonts w:hAnsi="Times New Roman" w:cs="仿宋_GB2312"/>
          <w:spacing w:val="-6"/>
          <w:sz w:val="32"/>
          <w:szCs w:val="32"/>
          <w:lang w:eastAsia="zh-CN"/>
        </w:rPr>
        <w:t>。</w:t>
      </w:r>
    </w:p>
    <w:p w14:paraId="7DA32564"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2.</w:t>
      </w:r>
      <w:r>
        <w:rPr>
          <w:rFonts w:hAnsi="Times New Roman" w:cs="仿宋_GB2312" w:hint="eastAsia"/>
          <w:spacing w:val="-6"/>
          <w:sz w:val="32"/>
          <w:szCs w:val="32"/>
          <w:lang w:eastAsia="zh-CN"/>
        </w:rPr>
        <w:t>人力资源知识智能管理系统</w:t>
      </w:r>
      <w:r>
        <w:rPr>
          <w:rFonts w:hAnsi="Times New Roman" w:cs="仿宋_GB2312"/>
          <w:spacing w:val="-6"/>
          <w:sz w:val="32"/>
          <w:szCs w:val="32"/>
          <w:lang w:eastAsia="zh-CN"/>
        </w:rPr>
        <w:t>1套。</w:t>
      </w:r>
    </w:p>
    <w:p w14:paraId="76DE5613"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3</w:t>
      </w:r>
      <w:r>
        <w:rPr>
          <w:rFonts w:hAnsi="Times New Roman" w:cs="仿宋_GB2312"/>
          <w:spacing w:val="-6"/>
          <w:sz w:val="32"/>
          <w:szCs w:val="32"/>
          <w:lang w:eastAsia="zh-CN"/>
        </w:rPr>
        <w:t>.国产</w:t>
      </w:r>
      <w:r>
        <w:rPr>
          <w:rFonts w:hAnsi="Times New Roman" w:cs="仿宋_GB2312" w:hint="eastAsia"/>
          <w:spacing w:val="-6"/>
          <w:sz w:val="32"/>
          <w:szCs w:val="32"/>
          <w:lang w:eastAsia="zh-CN"/>
        </w:rPr>
        <w:t>算力</w:t>
      </w:r>
      <w:r>
        <w:rPr>
          <w:rFonts w:hAnsi="Times New Roman" w:cs="仿宋_GB2312"/>
          <w:spacing w:val="-6"/>
          <w:sz w:val="32"/>
          <w:szCs w:val="32"/>
          <w:lang w:eastAsia="zh-CN"/>
        </w:rPr>
        <w:t>模型适配部署</w:t>
      </w:r>
      <w:r>
        <w:rPr>
          <w:rFonts w:hAnsi="Times New Roman" w:cs="仿宋_GB2312" w:hint="eastAsia"/>
          <w:spacing w:val="-6"/>
          <w:sz w:val="32"/>
          <w:szCs w:val="32"/>
          <w:lang w:eastAsia="zh-CN"/>
        </w:rPr>
        <w:t>和运维管理</w:t>
      </w:r>
      <w:r>
        <w:rPr>
          <w:rFonts w:hAnsi="Times New Roman" w:cs="仿宋_GB2312"/>
          <w:spacing w:val="-6"/>
          <w:sz w:val="32"/>
          <w:szCs w:val="32"/>
          <w:lang w:eastAsia="zh-CN"/>
        </w:rPr>
        <w:t>方案1套。</w:t>
      </w:r>
    </w:p>
    <w:p w14:paraId="4A9914B5"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4.项目技术研究报告1份。</w:t>
      </w:r>
    </w:p>
    <w:p w14:paraId="6DBC3CB1"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5</w:t>
      </w:r>
      <w:r>
        <w:rPr>
          <w:rFonts w:hAnsi="Times New Roman" w:cs="仿宋_GB2312"/>
          <w:spacing w:val="-6"/>
          <w:sz w:val="32"/>
          <w:szCs w:val="32"/>
          <w:lang w:eastAsia="zh-CN"/>
        </w:rPr>
        <w:t>.</w:t>
      </w:r>
      <w:r>
        <w:rPr>
          <w:rFonts w:hAnsi="Times New Roman" w:cs="仿宋_GB2312" w:hint="eastAsia"/>
          <w:spacing w:val="-6"/>
          <w:sz w:val="32"/>
          <w:szCs w:val="32"/>
          <w:lang w:eastAsia="zh-CN"/>
        </w:rPr>
        <w:t>人力资源领域示范应用报告1份。</w:t>
      </w:r>
    </w:p>
    <w:p w14:paraId="69714371"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kern w:val="2"/>
          <w:sz w:val="32"/>
          <w:szCs w:val="32"/>
          <w:lang w:eastAsia="zh-CN"/>
        </w:rPr>
        <w:t>（四）项目周期</w:t>
      </w:r>
    </w:p>
    <w:p w14:paraId="39352AAE"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不超过1年。</w:t>
      </w:r>
    </w:p>
    <w:p w14:paraId="47B32CE0"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kern w:val="2"/>
          <w:sz w:val="32"/>
          <w:szCs w:val="32"/>
          <w:lang w:eastAsia="zh-CN"/>
        </w:rPr>
        <w:t>（五）榜单金额</w:t>
      </w:r>
    </w:p>
    <w:p w14:paraId="3FCD7B25"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不超过500万元。</w:t>
      </w:r>
    </w:p>
    <w:p w14:paraId="48FA1840" w14:textId="77777777" w:rsidR="00E51C38" w:rsidRDefault="00000000">
      <w:pPr>
        <w:widowControl w:val="0"/>
        <w:spacing w:after="0" w:line="560" w:lineRule="exact"/>
        <w:rPr>
          <w:rFonts w:ascii="Times New Roman Regular" w:hAnsi="Times New Roman Regular" w:cs="Times New Roman Regular"/>
          <w:sz w:val="32"/>
          <w:szCs w:val="32"/>
          <w:lang w:eastAsia="zh-CN"/>
        </w:rPr>
      </w:pPr>
      <w:r>
        <w:rPr>
          <w:rFonts w:ascii="Times New Roman Regular" w:hAnsi="Times New Roman Regular" w:cs="Times New Roman Regular"/>
          <w:sz w:val="32"/>
          <w:szCs w:val="32"/>
          <w:lang w:eastAsia="zh-CN"/>
        </w:rPr>
        <w:br w:type="page"/>
      </w:r>
    </w:p>
    <w:p w14:paraId="3D8138F9" w14:textId="77777777" w:rsidR="00E51C38" w:rsidRDefault="00000000">
      <w:pPr>
        <w:widowControl w:val="0"/>
        <w:spacing w:after="0" w:line="560" w:lineRule="exact"/>
        <w:ind w:firstLineChars="200" w:firstLine="640"/>
        <w:jc w:val="both"/>
        <w:rPr>
          <w:rFonts w:ascii="黑体" w:eastAsia="黑体" w:hAnsi="黑体" w:cs="黑体" w:hint="eastAsia"/>
          <w:kern w:val="44"/>
          <w:sz w:val="32"/>
          <w:szCs w:val="32"/>
          <w:lang w:eastAsia="zh-CN"/>
        </w:rPr>
      </w:pPr>
      <w:bookmarkStart w:id="3" w:name="_Hlk238985334"/>
      <w:bookmarkStart w:id="4" w:name="_Hlk205376558"/>
      <w:r>
        <w:rPr>
          <w:rFonts w:ascii="黑体" w:eastAsia="黑体" w:hAnsi="黑体" w:hint="eastAsia"/>
          <w:kern w:val="2"/>
          <w:sz w:val="32"/>
          <w:szCs w:val="32"/>
          <w:lang w:eastAsia="zh-CN"/>
        </w:rPr>
        <w:lastRenderedPageBreak/>
        <w:t>榜单方向四：</w:t>
      </w:r>
      <w:bookmarkEnd w:id="3"/>
      <w:r>
        <w:rPr>
          <w:rFonts w:ascii="黑体" w:eastAsia="黑体" w:hAnsi="黑体" w:hint="eastAsia"/>
          <w:kern w:val="2"/>
          <w:sz w:val="32"/>
          <w:szCs w:val="32"/>
          <w:lang w:eastAsia="zh-CN"/>
        </w:rPr>
        <w:t>基于档案+AI的智能辅助写作服务系统研发</w:t>
      </w:r>
    </w:p>
    <w:p w14:paraId="21738D9D"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（一）需求目标</w:t>
      </w:r>
    </w:p>
    <w:p w14:paraId="690C7BC0"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为充分挖掘释放档案价值、发挥档案资政效能，以人工智能技术赋能政务文稿写作，推动其从“人工经验驱动”向“档案数据与模型协同驱动”转型升级，构建高效、规范、可追溯的智能化辅助写作能力。本项目拟以馆藏档案数据资源为基础，突破当前文稿写作面临的素材检索耗时费力、风格适配难以快速匹配、质量核验溯源难以保障等痛点，依托国产大语言模型构建基于档案+AI的智能辅助写作服务系统。系统需实现三大功能，一是多源数据检索与引用，实现档案文本、政策文件、媒体新闻等多源数据的精准召回与引用溯源，支持关键要素的自动提取与语义关联，降低人工检索耗时；二是风格自适应生成，研发场景定制和人物风格定制功能，仅需学习若干历史范文即可掌握行文风格特征，面向不同使用场景和受众实现定制化生成，减少人工反复调整环节；三是章节级质量控制，围绕计划、检索、生成、核查等单元化生成环节，有效防范大模型“幻觉”风险，构建垂直场景多维自动评估指标体系，为持续优化提供量化依据，并依托档案数据的准确性与规范性，确保事实依据有档可查、有源可溯。</w:t>
      </w:r>
    </w:p>
    <w:p w14:paraId="1EF46C0A"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（二）考核指标</w:t>
      </w:r>
    </w:p>
    <w:p w14:paraId="21E175B4" w14:textId="77777777" w:rsidR="00E51C38" w:rsidRDefault="00000000">
      <w:pPr>
        <w:pStyle w:val="aff"/>
        <w:widowControl w:val="0"/>
        <w:spacing w:after="0" w:line="560" w:lineRule="exact"/>
        <w:ind w:left="0"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1.</w:t>
      </w:r>
      <w:r>
        <w:rPr>
          <w:rFonts w:hAnsi="Times New Roman" w:cs="仿宋_GB2312" w:hint="eastAsia"/>
          <w:spacing w:val="-6"/>
          <w:sz w:val="32"/>
          <w:szCs w:val="32"/>
          <w:lang w:eastAsia="zh-CN"/>
        </w:rPr>
        <w:t>研发多源素材检索模块。</w:t>
      </w:r>
      <w:r>
        <w:rPr>
          <w:rFonts w:hAnsi="Times New Roman" w:cs="仿宋_GB2312"/>
          <w:spacing w:val="-6"/>
          <w:sz w:val="32"/>
          <w:szCs w:val="32"/>
          <w:lang w:eastAsia="zh-CN"/>
        </w:rPr>
        <w:t>支持包括</w:t>
      </w:r>
      <w:r>
        <w:rPr>
          <w:rFonts w:hAnsi="Times New Roman" w:cs="仿宋_GB2312" w:hint="eastAsia"/>
          <w:spacing w:val="-6"/>
          <w:sz w:val="32"/>
          <w:szCs w:val="32"/>
          <w:lang w:eastAsia="zh-CN"/>
        </w:rPr>
        <w:t>文本类档案数据、</w:t>
      </w:r>
      <w:r>
        <w:rPr>
          <w:rFonts w:hAnsi="Times New Roman" w:cs="仿宋_GB2312"/>
          <w:spacing w:val="-6"/>
          <w:sz w:val="32"/>
          <w:szCs w:val="32"/>
          <w:lang w:eastAsia="zh-CN"/>
        </w:rPr>
        <w:t>新闻媒</w:t>
      </w:r>
      <w:r>
        <w:rPr>
          <w:rFonts w:hAnsi="Times New Roman" w:cs="仿宋_GB2312"/>
          <w:spacing w:val="-6"/>
          <w:sz w:val="32"/>
          <w:szCs w:val="32"/>
          <w:lang w:eastAsia="zh-CN"/>
        </w:rPr>
        <w:lastRenderedPageBreak/>
        <w:t>体、政府网站等</w:t>
      </w:r>
      <w:r>
        <w:rPr>
          <w:rFonts w:hAnsi="Times New Roman" w:cs="仿宋_GB2312" w:hint="eastAsia"/>
          <w:spacing w:val="-6"/>
          <w:sz w:val="32"/>
          <w:szCs w:val="32"/>
          <w:lang w:eastAsia="zh-CN"/>
        </w:rPr>
        <w:t>不少于50个信息来源的</w:t>
      </w:r>
      <w:r>
        <w:rPr>
          <w:rFonts w:hAnsi="Times New Roman" w:cs="仿宋_GB2312"/>
          <w:spacing w:val="-6"/>
          <w:sz w:val="32"/>
          <w:szCs w:val="32"/>
          <w:lang w:eastAsia="zh-CN"/>
        </w:rPr>
        <w:t>采集</w:t>
      </w:r>
      <w:r>
        <w:rPr>
          <w:rFonts w:hAnsi="Times New Roman" w:cs="仿宋_GB2312" w:hint="eastAsia"/>
          <w:spacing w:val="-6"/>
          <w:sz w:val="32"/>
          <w:szCs w:val="32"/>
          <w:lang w:eastAsia="zh-CN"/>
        </w:rPr>
        <w:t>检索，公开信息源更新频率不少于1次/周；采集后的信息需进行结构化处理，并支持增量学习与动态知识更新。</w:t>
      </w:r>
    </w:p>
    <w:p w14:paraId="616D4B76"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spacing w:val="-6"/>
          <w:sz w:val="32"/>
          <w:szCs w:val="32"/>
          <w:lang w:eastAsia="zh-CN"/>
        </w:rPr>
        <w:t>2.</w:t>
      </w:r>
      <w:r>
        <w:rPr>
          <w:rFonts w:hAnsi="Times New Roman" w:cs="仿宋_GB2312" w:hint="eastAsia"/>
          <w:spacing w:val="-6"/>
          <w:sz w:val="32"/>
          <w:szCs w:val="32"/>
          <w:lang w:eastAsia="zh-CN"/>
        </w:rPr>
        <w:t>研发多智能体协作的智能写作服务系统。</w:t>
      </w:r>
    </w:p>
    <w:p w14:paraId="38F4DC3D"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w:t>
      </w:r>
      <w:r>
        <w:rPr>
          <w:rFonts w:hAnsi="Times New Roman" w:cs="仿宋_GB2312"/>
          <w:spacing w:val="-6"/>
          <w:sz w:val="32"/>
          <w:szCs w:val="32"/>
          <w:lang w:eastAsia="zh-CN"/>
        </w:rPr>
        <w:t>1</w:t>
      </w:r>
      <w:r>
        <w:rPr>
          <w:rFonts w:hAnsi="Times New Roman" w:cs="仿宋_GB2312" w:hint="eastAsia"/>
          <w:spacing w:val="-6"/>
          <w:sz w:val="32"/>
          <w:szCs w:val="32"/>
          <w:lang w:eastAsia="zh-CN"/>
        </w:rPr>
        <w:t>）覆盖大纲生成、正文撰写、质量检查等关键环节，通过不少于20个协作智能体，实现素材检索、章节写作、引用核查、润色重写等全流程协作的复杂长文稿生成功能；生成的文稿遵循指定的公文写作规范，支持文稿导出为Word、</w:t>
      </w:r>
      <w:r>
        <w:rPr>
          <w:rFonts w:hAnsi="Times New Roman" w:cs="仿宋_GB2312"/>
          <w:spacing w:val="-6"/>
          <w:sz w:val="32"/>
          <w:szCs w:val="32"/>
          <w:lang w:eastAsia="zh-CN"/>
        </w:rPr>
        <w:t>WPS</w:t>
      </w:r>
      <w:r>
        <w:rPr>
          <w:rFonts w:hAnsi="Times New Roman" w:cs="仿宋_GB2312" w:hint="eastAsia"/>
          <w:spacing w:val="-6"/>
          <w:sz w:val="32"/>
          <w:szCs w:val="32"/>
          <w:lang w:eastAsia="zh-CN"/>
        </w:rPr>
        <w:t>等常用可编辑文档格式。</w:t>
      </w:r>
    </w:p>
    <w:p w14:paraId="24B1D8FE"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w:t>
      </w:r>
      <w:r>
        <w:rPr>
          <w:rFonts w:hAnsi="Times New Roman" w:cs="仿宋_GB2312"/>
          <w:spacing w:val="-6"/>
          <w:sz w:val="32"/>
          <w:szCs w:val="32"/>
          <w:lang w:eastAsia="zh-CN"/>
        </w:rPr>
        <w:t>2</w:t>
      </w:r>
      <w:r>
        <w:rPr>
          <w:rFonts w:hAnsi="Times New Roman" w:cs="仿宋_GB2312" w:hint="eastAsia"/>
          <w:spacing w:val="-6"/>
          <w:sz w:val="32"/>
          <w:szCs w:val="32"/>
          <w:lang w:eastAsia="zh-CN"/>
        </w:rPr>
        <w:t>）可引用的素材应覆盖不少于三类数据源（如馆藏档案、媒体新闻、古语金句等</w:t>
      </w:r>
      <w:r>
        <w:rPr>
          <w:rFonts w:hAnsi="Times New Roman" w:cs="仿宋_GB2312"/>
          <w:spacing w:val="-6"/>
          <w:sz w:val="32"/>
          <w:szCs w:val="32"/>
          <w:lang w:eastAsia="zh-CN"/>
        </w:rPr>
        <w:t>），</w:t>
      </w:r>
      <w:r>
        <w:rPr>
          <w:rFonts w:hAnsi="Times New Roman" w:cs="仿宋_GB2312" w:hint="eastAsia"/>
          <w:spacing w:val="-6"/>
          <w:sz w:val="32"/>
          <w:szCs w:val="32"/>
          <w:lang w:eastAsia="zh-CN"/>
        </w:rPr>
        <w:t>并对各类数据源实现统一接入，支持多维度检索定位；信息来源可追溯率不低于95%，可溯源数字类信息须准确标注来源，供人工核查。</w:t>
      </w:r>
    </w:p>
    <w:p w14:paraId="55DE5107"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w:t>
      </w:r>
      <w:r>
        <w:rPr>
          <w:rFonts w:hAnsi="Times New Roman" w:cs="仿宋_GB2312"/>
          <w:spacing w:val="-6"/>
          <w:sz w:val="32"/>
          <w:szCs w:val="32"/>
          <w:lang w:eastAsia="zh-CN"/>
        </w:rPr>
        <w:t>3</w:t>
      </w:r>
      <w:r>
        <w:rPr>
          <w:rFonts w:hAnsi="Times New Roman" w:cs="仿宋_GB2312" w:hint="eastAsia"/>
          <w:spacing w:val="-6"/>
          <w:sz w:val="32"/>
          <w:szCs w:val="32"/>
          <w:lang w:eastAsia="zh-CN"/>
        </w:rPr>
        <w:t>）具备多场景定制与风格自进化能力：覆盖不少于3个场景（如对外交流、工作部署、调研座谈等）的定制与风格适配；支持根据不同受众对象调整表达方式；支持特定人物风格学习，仅需提供若干篇范文即可自动学习其行文风格特征（包括用词偏好、句式习惯、角色定位等），并实现写作风格的持续自进化。</w:t>
      </w:r>
    </w:p>
    <w:p w14:paraId="4CD761B1"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3.系统安全部署。需内网部署，公开数据采集与更新模块可在公网独立部署，通过指定媒介导入内网系统。</w:t>
      </w:r>
    </w:p>
    <w:p w14:paraId="7DCBAF92"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（三）项目交付成果</w:t>
      </w:r>
    </w:p>
    <w:p w14:paraId="0A1B5FF0"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lastRenderedPageBreak/>
        <w:t>1</w:t>
      </w:r>
      <w:r>
        <w:rPr>
          <w:rFonts w:hAnsi="Times New Roman" w:cs="仿宋_GB2312"/>
          <w:spacing w:val="-6"/>
          <w:sz w:val="32"/>
          <w:szCs w:val="32"/>
          <w:lang w:eastAsia="zh-CN"/>
        </w:rPr>
        <w:t>.档案+AI</w:t>
      </w:r>
      <w:r>
        <w:rPr>
          <w:rFonts w:hAnsi="Times New Roman" w:cs="仿宋_GB2312" w:hint="eastAsia"/>
          <w:spacing w:val="-6"/>
          <w:sz w:val="32"/>
          <w:szCs w:val="32"/>
          <w:lang w:eastAsia="zh-CN"/>
        </w:rPr>
        <w:t>智能辅助写作服务系统1套。</w:t>
      </w:r>
    </w:p>
    <w:p w14:paraId="573C433E"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2</w:t>
      </w:r>
      <w:r>
        <w:rPr>
          <w:rFonts w:hAnsi="Times New Roman" w:cs="仿宋_GB2312"/>
          <w:spacing w:val="-6"/>
          <w:sz w:val="32"/>
          <w:szCs w:val="32"/>
          <w:lang w:eastAsia="zh-CN"/>
        </w:rPr>
        <w:t>.公开</w:t>
      </w:r>
      <w:r>
        <w:rPr>
          <w:rFonts w:hAnsi="Times New Roman" w:cs="仿宋_GB2312" w:hint="eastAsia"/>
          <w:spacing w:val="-6"/>
          <w:sz w:val="32"/>
          <w:szCs w:val="32"/>
          <w:lang w:eastAsia="zh-CN"/>
        </w:rPr>
        <w:t>数据采集与更新模块1套。</w:t>
      </w:r>
    </w:p>
    <w:p w14:paraId="3DEC7F2F"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（四）项目周期</w:t>
      </w:r>
    </w:p>
    <w:p w14:paraId="34D809DD"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不超过1年。</w:t>
      </w:r>
    </w:p>
    <w:p w14:paraId="5EFF2A51"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（五）榜单金额</w:t>
      </w:r>
    </w:p>
    <w:p w14:paraId="7E0746C1"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不超过500万。</w:t>
      </w:r>
    </w:p>
    <w:p w14:paraId="78325870" w14:textId="77777777" w:rsidR="00E51C38" w:rsidRDefault="00000000">
      <w:pPr>
        <w:widowControl w:val="0"/>
        <w:spacing w:after="0" w:line="560" w:lineRule="exact"/>
        <w:rPr>
          <w:rFonts w:hint="eastAsia"/>
          <w:sz w:val="32"/>
          <w:szCs w:val="32"/>
          <w:lang w:eastAsia="zh-CN"/>
        </w:rPr>
      </w:pPr>
      <w:r>
        <w:rPr>
          <w:rFonts w:hint="eastAsia"/>
          <w:sz w:val="32"/>
          <w:szCs w:val="32"/>
          <w:lang w:eastAsia="zh-CN"/>
        </w:rPr>
        <w:br w:type="page"/>
      </w:r>
    </w:p>
    <w:p w14:paraId="3E77CA7B" w14:textId="77777777" w:rsidR="00E51C38" w:rsidRDefault="00000000">
      <w:pPr>
        <w:widowControl w:val="0"/>
        <w:spacing w:after="0" w:line="560" w:lineRule="exact"/>
        <w:ind w:firstLineChars="200" w:firstLine="640"/>
        <w:jc w:val="both"/>
        <w:rPr>
          <w:rFonts w:ascii="黑体" w:eastAsia="黑体" w:hAnsi="黑体" w:cs="黑体" w:hint="eastAsia"/>
          <w:sz w:val="32"/>
          <w:szCs w:val="32"/>
          <w:lang w:eastAsia="zh-CN"/>
        </w:rPr>
      </w:pPr>
      <w:r>
        <w:rPr>
          <w:rFonts w:ascii="黑体" w:eastAsia="黑体" w:hAnsi="黑体" w:hint="eastAsia"/>
          <w:kern w:val="2"/>
          <w:sz w:val="32"/>
          <w:szCs w:val="32"/>
          <w:lang w:eastAsia="zh-CN"/>
        </w:rPr>
        <w:lastRenderedPageBreak/>
        <w:t>榜单方向五：</w:t>
      </w:r>
      <w:bookmarkEnd w:id="4"/>
      <w:r>
        <w:rPr>
          <w:rFonts w:ascii="黑体" w:eastAsia="黑体" w:hAnsi="黑体" w:hint="eastAsia"/>
          <w:kern w:val="2"/>
          <w:sz w:val="32"/>
          <w:szCs w:val="32"/>
          <w:lang w:eastAsia="zh-CN"/>
        </w:rPr>
        <w:t>AI赋能科技项目指南全周期管理应用研发</w:t>
      </w:r>
    </w:p>
    <w:p w14:paraId="149FAC06"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（一）需求目标</w:t>
      </w:r>
    </w:p>
    <w:p w14:paraId="4C9725C4"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依托本市各类科技管理数据，构建科技管理高质量知识库。基于国产大模型训练适配科技项目管理场景的专用模型。研发覆盖项目指南编制、征集申报，组织实施、评估改进等各阶段的智能体应用，提升创新主体获得感与科技管理效率，重点实现四个方面的智能应用：一是指南编制：常态化征集凝练企业产业技术攻关需求，提供一致性分析、文本辅助起草、相似性检测、合规性审查等功能；二是征集申报：向潜在申报主体自动推送申报指南；建立AI智能客服，提供7×24小时指南问题解答；三是组织实施：智能遴选联络评审专家，自动提取申报书关键信息并与指南做指标差异比对，自动给量化指标评分、为定性指标提供评价建议，审查项目相关过程材料的合规性与一致性；四是评估改进：实现全链路追溯评估，量化各方向投入产出，多维度一键生成分析报告。</w:t>
      </w:r>
    </w:p>
    <w:p w14:paraId="5D90A3E6"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（二）考核指标</w:t>
      </w:r>
    </w:p>
    <w:p w14:paraId="10EC8447"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1.构建1套面向科技管理的知识库，涵盖科技政策、科技项目、科技资金、科技人员、科研单位、平台基地等不少于6类数据资源，项目数据信息的时间跨度不少于20年，完成数据的多源抽取及标准化处理，数据加工准确率不低于95%，关键字段数据准确率不低于95%，保留数据来源可追溯率100%，支持新增数据资源的实时同步更</w:t>
      </w:r>
      <w:r>
        <w:rPr>
          <w:rFonts w:hAnsi="Times New Roman" w:cs="仿宋_GB2312" w:hint="eastAsia"/>
          <w:spacing w:val="-6"/>
          <w:sz w:val="32"/>
          <w:szCs w:val="32"/>
          <w:lang w:eastAsia="zh-CN"/>
        </w:rPr>
        <w:lastRenderedPageBreak/>
        <w:t>新。</w:t>
      </w:r>
    </w:p>
    <w:p w14:paraId="5C9B437A"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2.基于国产基础模型构建1个适配科技项目管理场景的专用大模型，至少完成2种国产算力芯片的适配和性能验证，P50首字响应时间不高于1秒，P95首字响应时间不高于3秒。</w:t>
      </w:r>
    </w:p>
    <w:p w14:paraId="4B787530"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3.研发1套智能体，各智能体应具备如下功能及性能：</w:t>
      </w:r>
    </w:p>
    <w:p w14:paraId="6734926B"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1）指南编制方面。实现产业技术攻关需求征集与凝练、需求方向与相关规划内容一致性分析、指南辅助起草、指南相似性检测、合规性审查等功能。针对需求征集的文本聚类准确率不低于90%；生成的指南文本逻辑连贯、语言流畅；相似性检测的准确率不低于95%；指南指标问题（重复/缺失/偏低/衰减）的识别准确率不低于90%；合规性审查达到对指南全文的覆盖率达到100%。</w:t>
      </w:r>
    </w:p>
    <w:p w14:paraId="66E206DC"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2）征集申报方面。实现申报指南向潜在申报主体的自动推送，建立AI智能客服提供7×24小时指南相关问题智能解答服务。指南推送精准度不低于90%；智能客服应覆盖指南解读、申报流程、材料要求、资质条件等问题，在100个用户并发场景下，P95问答首字响应时间不高于1秒，回答准确率不低于90%。</w:t>
      </w:r>
    </w:p>
    <w:p w14:paraId="082E06A8"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3）组织实施方面。实现专家智能遴选与自动联络，自动提取申报书关键信息并与指南进行指标差异性比对，对量化指标自动评分、对定性指标给出评价建议。对项目实施、综合评价等过程材料进行合规性、一致性审查。智能遴选的专家与待评项目在二级学科</w:t>
      </w:r>
      <w:r>
        <w:rPr>
          <w:rFonts w:hAnsi="Times New Roman" w:cs="仿宋_GB2312" w:hint="eastAsia"/>
          <w:spacing w:val="-6"/>
          <w:sz w:val="32"/>
          <w:szCs w:val="32"/>
          <w:lang w:eastAsia="zh-CN"/>
        </w:rPr>
        <w:lastRenderedPageBreak/>
        <w:t>上的匹配准确率不低于95%，在三级学科上的匹配准确率不低于90%，具有利益冲突检测与自动回避功能；自动联络应包括短信、邮件、电话等联络方式；对标项目专家评审表，申报书关键信息提取准确率不低于95%；量化指标自动评分准确率不低于95%。</w:t>
      </w:r>
    </w:p>
    <w:p w14:paraId="68C2219D"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4）评估改进方面。实现“指南方向-项目布局-承担单位-成果”的全链路追溯评估，量化每个方向的投入产出情况。围绕产业领域、资金投入、承担单位、优势团队等多个维度一键生成分析报告。追溯评估应实现对指南、项目、资金、承担单位、成果等5类要素的全覆盖。一键生成报告应至少包括所属领域、资金投入、承担单位、优势团队等4个维度，生成报告的响应时间不高于</w:t>
      </w:r>
      <w:r>
        <w:rPr>
          <w:rFonts w:hAnsi="Times New Roman" w:cs="仿宋_GB2312"/>
          <w:spacing w:val="-6"/>
          <w:sz w:val="32"/>
          <w:szCs w:val="32"/>
          <w:lang w:eastAsia="zh-CN"/>
        </w:rPr>
        <w:t>5</w:t>
      </w:r>
      <w:r>
        <w:rPr>
          <w:rFonts w:hAnsi="Times New Roman" w:cs="仿宋_GB2312" w:hint="eastAsia"/>
          <w:spacing w:val="-6"/>
          <w:sz w:val="32"/>
          <w:szCs w:val="32"/>
          <w:lang w:eastAsia="zh-CN"/>
        </w:rPr>
        <w:t>秒钟</w:t>
      </w:r>
      <w:r>
        <w:rPr>
          <w:rFonts w:hAnsi="Times New Roman" w:cs="仿宋_GB2312"/>
          <w:spacing w:val="-6"/>
          <w:sz w:val="32"/>
          <w:szCs w:val="32"/>
          <w:lang w:eastAsia="zh-CN"/>
        </w:rPr>
        <w:t>，</w:t>
      </w:r>
      <w:r>
        <w:rPr>
          <w:rFonts w:hAnsi="Times New Roman" w:cs="仿宋_GB2312" w:hint="eastAsia"/>
          <w:spacing w:val="-6"/>
          <w:sz w:val="32"/>
          <w:szCs w:val="32"/>
          <w:lang w:eastAsia="zh-CN"/>
        </w:rPr>
        <w:t>报告支持导出为Word、PDF两种格式。</w:t>
      </w:r>
    </w:p>
    <w:p w14:paraId="7A9061EB"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4.以上各项量化指标均采用第三方人工抽检的方式进行评价，每项抽取数量均不小于100条。</w:t>
      </w:r>
    </w:p>
    <w:p w14:paraId="10096511"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5.方案及部署需规划安全防护机制，并对涉及到的个人隐私信息进行脱敏处理，确保信息安全。</w:t>
      </w:r>
    </w:p>
    <w:p w14:paraId="5376F7D8"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（三）项目交付成果</w:t>
      </w:r>
    </w:p>
    <w:p w14:paraId="160EFBED"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1.科技管理知识库1个。</w:t>
      </w:r>
    </w:p>
    <w:p w14:paraId="57E3807F"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2.适配科技管理的专用模型1套。</w:t>
      </w:r>
    </w:p>
    <w:p w14:paraId="4DC57A54"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3.智能体1套以及智能体相关的源代码和全部技术文档。</w:t>
      </w:r>
    </w:p>
    <w:p w14:paraId="2BF2BB76"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（四）项目周期</w:t>
      </w:r>
    </w:p>
    <w:p w14:paraId="1A0E7AA2"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lastRenderedPageBreak/>
        <w:t>不超过1年。</w:t>
      </w:r>
    </w:p>
    <w:p w14:paraId="38834762" w14:textId="77777777" w:rsidR="00E51C38" w:rsidRDefault="00000000">
      <w:pPr>
        <w:widowControl w:val="0"/>
        <w:spacing w:after="0" w:line="560" w:lineRule="exact"/>
        <w:ind w:firstLineChars="200" w:firstLine="640"/>
        <w:jc w:val="both"/>
        <w:rPr>
          <w:rFonts w:ascii="楷体_GB2312" w:eastAsia="楷体_GB2312" w:hint="eastAsia"/>
          <w:kern w:val="2"/>
          <w:sz w:val="32"/>
          <w:szCs w:val="32"/>
          <w:lang w:eastAsia="zh-CN"/>
        </w:rPr>
      </w:pPr>
      <w:r>
        <w:rPr>
          <w:rFonts w:ascii="楷体_GB2312" w:eastAsia="楷体_GB2312" w:hint="eastAsia"/>
          <w:kern w:val="2"/>
          <w:sz w:val="32"/>
          <w:szCs w:val="32"/>
          <w:lang w:eastAsia="zh-CN"/>
        </w:rPr>
        <w:t>（五）榜单金额</w:t>
      </w:r>
    </w:p>
    <w:p w14:paraId="1F564CBA"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不超过500万。</w:t>
      </w:r>
    </w:p>
    <w:p w14:paraId="4CCA320B" w14:textId="77777777" w:rsidR="00E51C38" w:rsidRDefault="00E51C38">
      <w:pPr>
        <w:widowControl w:val="0"/>
        <w:spacing w:after="0" w:line="560" w:lineRule="exact"/>
        <w:rPr>
          <w:rFonts w:hint="eastAsia"/>
          <w:lang w:eastAsia="zh-CN"/>
        </w:rPr>
      </w:pPr>
    </w:p>
    <w:p w14:paraId="03EEABDD" w14:textId="77777777" w:rsidR="00E51C38" w:rsidRDefault="00E51C38">
      <w:pPr>
        <w:widowControl w:val="0"/>
        <w:spacing w:after="0" w:line="560" w:lineRule="exact"/>
        <w:ind w:firstLineChars="200" w:firstLine="440"/>
        <w:rPr>
          <w:rFonts w:ascii="Times New Roman Regular" w:hAnsi="Times New Roman Regular" w:cs="Times New Roman Regular"/>
          <w:lang w:eastAsia="zh-CN"/>
        </w:rPr>
      </w:pPr>
    </w:p>
    <w:p w14:paraId="7643E4EB" w14:textId="77777777" w:rsidR="00E51C38" w:rsidRDefault="00E51C38">
      <w:pPr>
        <w:widowControl w:val="0"/>
        <w:spacing w:after="0" w:line="560" w:lineRule="exact"/>
        <w:ind w:firstLineChars="200" w:firstLine="640"/>
        <w:rPr>
          <w:rFonts w:hint="eastAsia"/>
          <w:sz w:val="32"/>
          <w:szCs w:val="32"/>
          <w:lang w:eastAsia="zh-CN"/>
        </w:rPr>
      </w:pPr>
    </w:p>
    <w:p w14:paraId="25B20EF2" w14:textId="77777777" w:rsidR="00E51C38" w:rsidRDefault="00000000">
      <w:pPr>
        <w:widowControl w:val="0"/>
        <w:spacing w:after="0" w:line="560" w:lineRule="exact"/>
        <w:rPr>
          <w:rFonts w:hint="eastAsia"/>
          <w:sz w:val="32"/>
          <w:szCs w:val="32"/>
          <w:lang w:eastAsia="zh-CN"/>
        </w:rPr>
      </w:pPr>
      <w:r>
        <w:rPr>
          <w:rFonts w:hint="eastAsia"/>
          <w:sz w:val="32"/>
          <w:szCs w:val="32"/>
          <w:lang w:eastAsia="zh-CN"/>
        </w:rPr>
        <w:br w:type="page"/>
      </w:r>
    </w:p>
    <w:p w14:paraId="3AF43241" w14:textId="1A0B5546" w:rsidR="00E51C38" w:rsidRDefault="00000000">
      <w:pPr>
        <w:widowControl w:val="0"/>
        <w:spacing w:after="0" w:line="560" w:lineRule="exact"/>
        <w:ind w:firstLineChars="200" w:firstLine="640"/>
        <w:jc w:val="both"/>
        <w:rPr>
          <w:rFonts w:ascii="黑体" w:eastAsia="黑体" w:hAnsi="黑体" w:hint="eastAsia"/>
          <w:kern w:val="2"/>
          <w:sz w:val="32"/>
          <w:szCs w:val="32"/>
          <w:lang w:eastAsia="zh-CN"/>
        </w:rPr>
      </w:pPr>
      <w:r>
        <w:rPr>
          <w:rFonts w:ascii="黑体" w:eastAsia="黑体" w:hAnsi="黑体" w:hint="eastAsia"/>
          <w:kern w:val="2"/>
          <w:sz w:val="32"/>
          <w:szCs w:val="32"/>
          <w:lang w:eastAsia="zh-CN"/>
        </w:rPr>
        <w:lastRenderedPageBreak/>
        <w:t>征集储备课题方向：</w:t>
      </w:r>
      <w:r w:rsidR="005F295C">
        <w:rPr>
          <w:rFonts w:ascii="黑体" w:eastAsia="黑体" w:hAnsi="黑体" w:hint="eastAsia"/>
          <w:kern w:val="2"/>
          <w:sz w:val="32"/>
          <w:szCs w:val="32"/>
          <w:lang w:eastAsia="zh-CN"/>
        </w:rPr>
        <w:t>AI</w:t>
      </w:r>
      <w:r>
        <w:rPr>
          <w:rFonts w:ascii="黑体" w:eastAsia="黑体" w:hAnsi="黑体" w:hint="eastAsia"/>
          <w:kern w:val="2"/>
          <w:sz w:val="32"/>
          <w:szCs w:val="32"/>
          <w:lang w:eastAsia="zh-CN"/>
        </w:rPr>
        <w:t>赋能生物育种</w:t>
      </w:r>
    </w:p>
    <w:p w14:paraId="4538C75F" w14:textId="77777777" w:rsidR="00E51C38" w:rsidRDefault="00000000">
      <w:pPr>
        <w:widowControl w:val="0"/>
        <w:spacing w:after="0" w:line="560" w:lineRule="exact"/>
        <w:ind w:firstLineChars="200" w:firstLine="640"/>
        <w:jc w:val="both"/>
        <w:rPr>
          <w:rFonts w:ascii="楷体_GB2312" w:eastAsia="楷体_GB2312" w:hAnsi="Calibri" w:cs="Times New Roman"/>
          <w:kern w:val="2"/>
          <w:sz w:val="32"/>
          <w:szCs w:val="32"/>
          <w:lang w:eastAsia="zh-CN"/>
        </w:rPr>
      </w:pPr>
      <w:r>
        <w:rPr>
          <w:rFonts w:ascii="楷体_GB2312" w:eastAsia="楷体_GB2312" w:hAnsi="Calibri" w:cs="Times New Roman" w:hint="eastAsia"/>
          <w:kern w:val="2"/>
          <w:sz w:val="32"/>
          <w:szCs w:val="32"/>
          <w:lang w:eastAsia="zh-CN"/>
        </w:rPr>
        <w:t>（一）研究内容</w:t>
      </w:r>
    </w:p>
    <w:p w14:paraId="2E456699"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聚焦植物、动物等农业生物复杂性状解析、分子改良和产业育种决策需求，开展人工智能驱动的精准育种关键技术研发，建设生物育种科学智能数据体系，研发育种DNA大模型、分子设计、遗传选择预测、精准选配和智能表型等技术，构建育种决策智能体，推动形成贯通数据、模型、实验和生产应用的全链条智能育种技术体系。</w:t>
      </w:r>
    </w:p>
    <w:p w14:paraId="377DC251" w14:textId="77777777" w:rsidR="00E51C38" w:rsidRDefault="00000000">
      <w:pPr>
        <w:widowControl w:val="0"/>
        <w:spacing w:after="0" w:line="560" w:lineRule="exact"/>
        <w:ind w:firstLineChars="200" w:firstLine="640"/>
        <w:jc w:val="both"/>
        <w:rPr>
          <w:rFonts w:ascii="楷体_GB2312" w:eastAsia="楷体_GB2312" w:hAnsi="Calibri" w:cs="Times New Roman"/>
          <w:kern w:val="2"/>
          <w:sz w:val="32"/>
          <w:szCs w:val="32"/>
          <w:lang w:eastAsia="zh-CN"/>
        </w:rPr>
      </w:pPr>
      <w:r>
        <w:rPr>
          <w:rFonts w:ascii="楷体_GB2312" w:eastAsia="楷体_GB2312" w:hAnsi="Calibri" w:cs="Times New Roman" w:hint="eastAsia"/>
          <w:kern w:val="2"/>
          <w:sz w:val="32"/>
          <w:szCs w:val="32"/>
          <w:lang w:eastAsia="zh-CN"/>
        </w:rPr>
        <w:t>（二）研究目标</w:t>
      </w:r>
    </w:p>
    <w:p w14:paraId="6E9462E2" w14:textId="77777777" w:rsidR="00E51C38" w:rsidRDefault="00000000">
      <w:pPr>
        <w:widowControl w:val="0"/>
        <w:spacing w:after="0" w:line="560" w:lineRule="exact"/>
        <w:ind w:firstLineChars="200" w:firstLine="616"/>
        <w:jc w:val="both"/>
        <w:rPr>
          <w:rFonts w:hAnsi="Times New Roman" w:cs="仿宋_GB2312"/>
          <w:spacing w:val="-6"/>
          <w:sz w:val="32"/>
          <w:szCs w:val="32"/>
          <w:lang w:eastAsia="zh-CN"/>
        </w:rPr>
      </w:pPr>
      <w:r>
        <w:rPr>
          <w:rFonts w:hAnsi="Times New Roman" w:cs="仿宋_GB2312" w:hint="eastAsia"/>
          <w:spacing w:val="-6"/>
          <w:sz w:val="32"/>
          <w:szCs w:val="32"/>
          <w:lang w:eastAsia="zh-CN"/>
        </w:rPr>
        <w:t>形成数据体系、专业模型、智能育种平台、决策智能体及应用适配一体化解决方案。在典型场景开展应用验证，提升复杂性状解析、分子设计、育种值预测、精准选配和表型测定效率。鼓励科技创新企业、种业企业、育种基地、科研院所等组建创新联合体。课题完成时，至少在1家真实用户单位完成测试验证，并形成应用证明或合作协议。</w:t>
      </w:r>
    </w:p>
    <w:p w14:paraId="4DA2608D" w14:textId="77777777" w:rsidR="00E51C38" w:rsidRDefault="00E51C38">
      <w:pPr>
        <w:widowControl w:val="0"/>
        <w:spacing w:after="0" w:line="560" w:lineRule="exact"/>
        <w:ind w:firstLineChars="200" w:firstLine="640"/>
        <w:jc w:val="both"/>
        <w:rPr>
          <w:rFonts w:ascii="黑体" w:eastAsia="黑体" w:hAnsi="黑体" w:hint="eastAsia"/>
          <w:kern w:val="2"/>
          <w:sz w:val="32"/>
          <w:szCs w:val="32"/>
          <w:lang w:eastAsia="zh-CN"/>
        </w:rPr>
      </w:pPr>
    </w:p>
    <w:sectPr w:rsidR="00E51C38">
      <w:footerReference w:type="even" r:id="rId10"/>
      <w:footerReference w:type="default" r:id="rId11"/>
      <w:pgSz w:w="12240" w:h="15840"/>
      <w:pgMar w:top="2098" w:right="1474" w:bottom="1984" w:left="1587" w:header="851" w:footer="1417" w:gutter="0"/>
      <w:pgNumType w:start="1"/>
      <w:cols w:space="720"/>
      <w:docGrid w:type="linesAndChars" w:linePitch="534" w:charSpace="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2711" w14:textId="77777777" w:rsidR="002162B9" w:rsidRDefault="002162B9">
      <w:pPr>
        <w:spacing w:line="240" w:lineRule="auto"/>
        <w:rPr>
          <w:rFonts w:hint="eastAsia"/>
        </w:rPr>
      </w:pPr>
      <w:r>
        <w:separator/>
      </w:r>
    </w:p>
  </w:endnote>
  <w:endnote w:type="continuationSeparator" w:id="0">
    <w:p w14:paraId="3BE669F9" w14:textId="77777777" w:rsidR="002162B9" w:rsidRDefault="002162B9">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45B26C8A-F744-4AA3-A4A8-95495BA86308}"/>
  </w:font>
  <w:font w:name="黑体">
    <w:altName w:val="SimHei"/>
    <w:panose1 w:val="02010609060101010101"/>
    <w:charset w:val="86"/>
    <w:family w:val="modern"/>
    <w:pitch w:val="fixed"/>
    <w:sig w:usb0="800002BF" w:usb1="38CF7CFA" w:usb2="00000016" w:usb3="00000000" w:csb0="00040001" w:csb1="00000000"/>
    <w:embedRegular r:id="rId2" w:subsetted="1" w:fontKey="{4E7D62BD-E3E3-44F8-807B-59EB2B44C31E}"/>
  </w:font>
  <w:font w:name="楷体_GB2312">
    <w:panose1 w:val="02010609030101010101"/>
    <w:charset w:val="86"/>
    <w:family w:val="modern"/>
    <w:pitch w:val="fixed"/>
    <w:sig w:usb0="00000001" w:usb1="080E0000" w:usb2="00000010" w:usb3="00000000" w:csb0="00040000" w:csb1="00000000"/>
    <w:embedRegular r:id="rId3" w:subsetted="1" w:fontKey="{032FBDF0-5B4B-416F-AEB1-CFF5301D03F0}"/>
  </w:font>
  <w:font w:name="Courier">
    <w:panose1 w:val="02070409020205020404"/>
    <w:charset w:val="00"/>
    <w:family w:val="auto"/>
    <w:notTrueType/>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_GBK">
    <w:panose1 w:val="03000509000000000000"/>
    <w:charset w:val="86"/>
    <w:family w:val="script"/>
    <w:pitch w:val="fixed"/>
    <w:sig w:usb0="00000001" w:usb1="080E0000" w:usb2="00000010" w:usb3="00000000" w:csb0="00040000" w:csb1="00000000"/>
    <w:embedRegular r:id="rId4" w:subsetted="1" w:fontKey="{851851FC-7A9B-4CC6-B935-83702B185205}"/>
  </w:font>
  <w:font w:name="Times New Roman Regular">
    <w:altName w:val="Times New Roman"/>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0B22" w14:textId="77777777" w:rsidR="00E51C38" w:rsidRDefault="00000000">
    <w:pPr>
      <w:pStyle w:val="ab"/>
      <w:rPr>
        <w:rFonts w:hint="eastAsia"/>
      </w:rPr>
    </w:pPr>
    <w:r>
      <w:rPr>
        <w:noProof/>
      </w:rPr>
      <mc:AlternateContent>
        <mc:Choice Requires="wps">
          <w:drawing>
            <wp:anchor distT="0" distB="0" distL="114300" distR="114300" simplePos="0" relativeHeight="251660288" behindDoc="0" locked="0" layoutInCell="1" allowOverlap="1" wp14:anchorId="693FA2E8" wp14:editId="49599498">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43E26" w14:textId="77777777" w:rsidR="00E51C38" w:rsidRDefault="00000000">
                          <w:pPr>
                            <w:pStyle w:val="ab"/>
                            <w:rPr>
                              <w:rFonts w:ascii="宋体" w:eastAsia="宋体" w:hAnsi="宋体" w:hint="eastAsia"/>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type w14:anchorId="693FA2E8" id="_x0000_t202" coordsize="21600,21600" o:spt="202" path="m,l,21600r21600,l21600,xe">
              <v:stroke joinstyle="miter"/>
              <v:path gradientshapeok="t" o:connecttype="rect"/>
            </v:shapetype>
            <v:shape id="文本框 4" o:spid="_x0000_s1026" type="#_x0000_t202" style="position:absolute;margin-left:92.8pt;margin-top:1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" filled="f" stroked="f" strokeweight=".5pt">
              <v:textbox style="mso-fit-shape-to-text:t" inset="16pt,0,16pt,0">
                <w:txbxContent>
                  <w:p w14:paraId="75443E26" w14:textId="77777777" w:rsidR="00E51C38" w:rsidRDefault="00000000">
                    <w:pPr>
                      <w:pStyle w:val="ab"/>
                      <w:rPr>
                        <w:rFonts w:ascii="宋体" w:eastAsia="宋体" w:hAnsi="宋体" w:hint="eastAsia"/>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2</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67CA" w14:textId="77777777" w:rsidR="00E51C38" w:rsidRDefault="00000000">
    <w:pPr>
      <w:pStyle w:val="ab"/>
      <w:rPr>
        <w:rFonts w:hint="eastAsia"/>
      </w:rPr>
    </w:pPr>
    <w:r>
      <w:rPr>
        <w:noProof/>
      </w:rPr>
      <mc:AlternateContent>
        <mc:Choice Requires="wps">
          <w:drawing>
            <wp:anchor distT="0" distB="0" distL="114300" distR="114300" simplePos="0" relativeHeight="251659264" behindDoc="0" locked="0" layoutInCell="1" allowOverlap="1" wp14:anchorId="0CA65DCB" wp14:editId="6568EEAA">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8D943" w14:textId="77777777" w:rsidR="00E51C38" w:rsidRDefault="00000000">
                          <w:pPr>
                            <w:pStyle w:val="ab"/>
                            <w:rPr>
                              <w:rFonts w:ascii="宋体" w:eastAsia="宋体" w:hAnsi="宋体" w:hint="eastAsia"/>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type w14:anchorId="0CA65DCB" id="_x0000_t202" coordsize="21600,21600" o:spt="202" path="m,l,21600r21600,l21600,xe">
              <v:stroke joinstyle="miter"/>
              <v:path gradientshapeok="t" o:connecttype="rect"/>
            </v:shapetype>
            <v:shape id="文本框 3" o:spid="_x0000_s1027" type="#_x0000_t202" style="position:absolute;margin-left:92.8pt;margin-top:1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" filled="f" stroked="f" strokeweight=".5pt">
              <v:textbox style="mso-fit-shape-to-text:t" inset="16pt,0,16pt,0">
                <w:txbxContent>
                  <w:p w14:paraId="0598D943" w14:textId="77777777" w:rsidR="00E51C38" w:rsidRDefault="00000000">
                    <w:pPr>
                      <w:pStyle w:val="ab"/>
                      <w:rPr>
                        <w:rFonts w:ascii="宋体" w:eastAsia="宋体" w:hAnsi="宋体" w:hint="eastAsia"/>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F5F2" w14:textId="77777777" w:rsidR="002162B9" w:rsidRDefault="002162B9">
      <w:pPr>
        <w:spacing w:after="0"/>
        <w:rPr>
          <w:rFonts w:hint="eastAsia"/>
        </w:rPr>
      </w:pPr>
      <w:r>
        <w:separator/>
      </w:r>
    </w:p>
  </w:footnote>
  <w:footnote w:type="continuationSeparator" w:id="0">
    <w:p w14:paraId="52177203" w14:textId="77777777" w:rsidR="002162B9" w:rsidRDefault="002162B9">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58481404">
    <w:abstractNumId w:val="1"/>
  </w:num>
  <w:num w:numId="2" w16cid:durableId="1113867797">
    <w:abstractNumId w:val="4"/>
  </w:num>
  <w:num w:numId="3" w16cid:durableId="104352270">
    <w:abstractNumId w:val="5"/>
  </w:num>
  <w:num w:numId="4" w16cid:durableId="492720085">
    <w:abstractNumId w:val="2"/>
  </w:num>
  <w:num w:numId="5" w16cid:durableId="574897693">
    <w:abstractNumId w:val="0"/>
  </w:num>
  <w:num w:numId="6" w16cid:durableId="1112823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defaultTabStop w:val="720"/>
  <w:evenAndOddHeaders/>
  <w:drawingGridHorizontalSpacing w:val="164"/>
  <w:drawingGridVerticalSpacing w:val="26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35B"/>
    <w:rsid w:val="00034616"/>
    <w:rsid w:val="0006063C"/>
    <w:rsid w:val="000E2F4C"/>
    <w:rsid w:val="0015074B"/>
    <w:rsid w:val="00167DA5"/>
    <w:rsid w:val="0018116F"/>
    <w:rsid w:val="002162B9"/>
    <w:rsid w:val="0024756F"/>
    <w:rsid w:val="002648F4"/>
    <w:rsid w:val="0029639D"/>
    <w:rsid w:val="002B07D1"/>
    <w:rsid w:val="00326F90"/>
    <w:rsid w:val="004F4C8E"/>
    <w:rsid w:val="005C3575"/>
    <w:rsid w:val="005F295C"/>
    <w:rsid w:val="006A7499"/>
    <w:rsid w:val="008F56B7"/>
    <w:rsid w:val="0090316E"/>
    <w:rsid w:val="0090396E"/>
    <w:rsid w:val="00991ED2"/>
    <w:rsid w:val="00A5211B"/>
    <w:rsid w:val="00AA1D8D"/>
    <w:rsid w:val="00B4592A"/>
    <w:rsid w:val="00B47730"/>
    <w:rsid w:val="00C346EF"/>
    <w:rsid w:val="00C81114"/>
    <w:rsid w:val="00CB0664"/>
    <w:rsid w:val="00E51C38"/>
    <w:rsid w:val="00FC693F"/>
    <w:rsid w:val="00FE6F84"/>
    <w:rsid w:val="01453595"/>
    <w:rsid w:val="0A153ADB"/>
    <w:rsid w:val="0D2B51A3"/>
    <w:rsid w:val="0F002ECE"/>
    <w:rsid w:val="0FF46D31"/>
    <w:rsid w:val="14787CD4"/>
    <w:rsid w:val="155E222E"/>
    <w:rsid w:val="15725ED3"/>
    <w:rsid w:val="1A132180"/>
    <w:rsid w:val="1D19672C"/>
    <w:rsid w:val="20274473"/>
    <w:rsid w:val="20382B83"/>
    <w:rsid w:val="207227AC"/>
    <w:rsid w:val="20776D72"/>
    <w:rsid w:val="212867F6"/>
    <w:rsid w:val="23B0218F"/>
    <w:rsid w:val="23F10720"/>
    <w:rsid w:val="26CE21B9"/>
    <w:rsid w:val="273379DB"/>
    <w:rsid w:val="28F341AD"/>
    <w:rsid w:val="293E3899"/>
    <w:rsid w:val="2AF35E35"/>
    <w:rsid w:val="2D6237BB"/>
    <w:rsid w:val="2E7E5DC9"/>
    <w:rsid w:val="310D297A"/>
    <w:rsid w:val="32BA008D"/>
    <w:rsid w:val="35FB0724"/>
    <w:rsid w:val="370A7551"/>
    <w:rsid w:val="3A055668"/>
    <w:rsid w:val="3BA54EEF"/>
    <w:rsid w:val="41A450E0"/>
    <w:rsid w:val="482E70F8"/>
    <w:rsid w:val="48D50AB2"/>
    <w:rsid w:val="4967783D"/>
    <w:rsid w:val="4A4824C3"/>
    <w:rsid w:val="4E777AEE"/>
    <w:rsid w:val="4FFB6324"/>
    <w:rsid w:val="544D7D8B"/>
    <w:rsid w:val="571B31C5"/>
    <w:rsid w:val="57D12A81"/>
    <w:rsid w:val="58FA1B64"/>
    <w:rsid w:val="5B8D65DB"/>
    <w:rsid w:val="5C98591B"/>
    <w:rsid w:val="5F3062DF"/>
    <w:rsid w:val="61866A70"/>
    <w:rsid w:val="619473FA"/>
    <w:rsid w:val="628D30FF"/>
    <w:rsid w:val="64CC2C79"/>
    <w:rsid w:val="65835FA4"/>
    <w:rsid w:val="677B47B7"/>
    <w:rsid w:val="6D6C21A3"/>
    <w:rsid w:val="73504D4A"/>
    <w:rsid w:val="766E07DF"/>
    <w:rsid w:val="78FC310E"/>
    <w:rsid w:val="79EA2131"/>
    <w:rsid w:val="7CF229CE"/>
    <w:rsid w:val="7DE553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3F525B"/>
  <w14:defaultImageDpi w14:val="300"/>
  <w15:docId w15:val="{7008F0F4-B25C-4260-988D-B21C8703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仿宋_GB2312" w:eastAsia="仿宋_GB2312" w:hAnsi="仿宋_GB2312" w:cstheme="minorBidi"/>
      <w:sz w:val="22"/>
      <w:szCs w:val="22"/>
      <w:lang w:eastAsia="en-US"/>
    </w:rPr>
  </w:style>
  <w:style w:type="paragraph" w:styleId="1">
    <w:name w:val="heading 1"/>
    <w:next w:val="a1"/>
    <w:uiPriority w:val="9"/>
    <w:qFormat/>
    <w:pPr>
      <w:keepNext/>
      <w:keepLines/>
      <w:spacing w:line="560" w:lineRule="exact"/>
      <w:ind w:firstLineChars="200" w:firstLine="894"/>
      <w:outlineLvl w:val="0"/>
    </w:pPr>
    <w:rPr>
      <w:rFonts w:ascii="黑体" w:eastAsia="黑体" w:hAnsi="黑体" w:cs="黑体"/>
      <w:kern w:val="44"/>
      <w:sz w:val="32"/>
      <w:szCs w:val="32"/>
    </w:rPr>
  </w:style>
  <w:style w:type="paragraph" w:styleId="21">
    <w:name w:val="heading 2"/>
    <w:next w:val="a1"/>
    <w:uiPriority w:val="9"/>
    <w:unhideWhenUsed/>
    <w:qFormat/>
    <w:pPr>
      <w:keepNext/>
      <w:keepLines/>
      <w:spacing w:line="560" w:lineRule="exact"/>
      <w:ind w:firstLineChars="200" w:firstLine="894"/>
      <w:outlineLvl w:val="1"/>
    </w:pPr>
    <w:rPr>
      <w:rFonts w:ascii="Times New Roman" w:eastAsia="楷体_GB2312" w:hAnsi="Times New Roman" w:cs="楷体_GB2312"/>
      <w:sz w:val="32"/>
      <w:szCs w:val="32"/>
    </w:rPr>
  </w:style>
  <w:style w:type="paragraph" w:styleId="31">
    <w:name w:val="heading 3"/>
    <w:basedOn w:val="a1"/>
    <w:next w:val="a2"/>
    <w:link w:val="32"/>
    <w:uiPriority w:val="9"/>
    <w:unhideWhenUsed/>
    <w:qFormat/>
    <w:pPr>
      <w:keepNext/>
      <w:keepLines/>
      <w:spacing w:line="560" w:lineRule="exact"/>
      <w:ind w:firstLineChars="200" w:firstLine="894"/>
      <w:outlineLvl w:val="2"/>
    </w:pPr>
    <w:rPr>
      <w:rFonts w:ascii="Times New Roman" w:hAnsi="Times New Roman" w:cs="仿宋_GB2312"/>
      <w:sz w:val="32"/>
      <w:szCs w:val="32"/>
    </w:rPr>
  </w:style>
  <w:style w:type="paragraph" w:styleId="4">
    <w:name w:val="heading 4"/>
    <w:next w:val="a1"/>
    <w:uiPriority w:val="9"/>
    <w:semiHidden/>
    <w:unhideWhenUsed/>
    <w:qFormat/>
    <w:pPr>
      <w:keepNext/>
      <w:keepLines/>
      <w:spacing w:line="560" w:lineRule="exact"/>
      <w:ind w:firstLineChars="200" w:firstLine="894"/>
      <w:outlineLvl w:val="3"/>
    </w:pPr>
    <w:rPr>
      <w:rFonts w:ascii="Times New Roman" w:eastAsia="仿宋_GB2312" w:hAnsi="Times New Roman" w:cs="仿宋_GB2312"/>
      <w:sz w:val="32"/>
      <w:szCs w:val="32"/>
    </w:rPr>
  </w:style>
  <w:style w:type="paragraph" w:styleId="5">
    <w:name w:val="heading 5"/>
    <w:next w:val="a1"/>
    <w:uiPriority w:val="9"/>
    <w:semiHidden/>
    <w:unhideWhenUsed/>
    <w:qFormat/>
    <w:pPr>
      <w:spacing w:line="560" w:lineRule="exact"/>
      <w:ind w:firstLineChars="200" w:firstLine="894"/>
      <w:outlineLvl w:val="4"/>
    </w:pPr>
    <w:rPr>
      <w:rFonts w:ascii="Times New Roman" w:eastAsia="仿宋_GB2312" w:hAnsi="Times New Roman" w:cs="仿宋_GB2312"/>
      <w:sz w:val="32"/>
      <w:szCs w:val="32"/>
    </w:rPr>
  </w:style>
  <w:style w:type="paragraph" w:styleId="6">
    <w:name w:val="heading 6"/>
    <w:next w:val="a1"/>
    <w:uiPriority w:val="9"/>
    <w:semiHidden/>
    <w:unhideWhenUsed/>
    <w:qFormat/>
    <w:pPr>
      <w:spacing w:line="560" w:lineRule="exact"/>
      <w:ind w:firstLineChars="200" w:firstLine="894"/>
      <w:outlineLvl w:val="5"/>
    </w:pPr>
    <w:rPr>
      <w:rFonts w:ascii="Times New Roman" w:eastAsia="仿宋_GB2312" w:hAnsi="Times New Roman" w:cs="仿宋_GB2312"/>
      <w:sz w:val="32"/>
      <w:szCs w:val="32"/>
    </w:rPr>
  </w:style>
  <w:style w:type="paragraph" w:styleId="7">
    <w:name w:val="heading 7"/>
    <w:next w:val="a1"/>
    <w:uiPriority w:val="9"/>
    <w:semiHidden/>
    <w:unhideWhenUsed/>
    <w:qFormat/>
    <w:pPr>
      <w:spacing w:line="560" w:lineRule="exact"/>
      <w:ind w:firstLineChars="200" w:firstLine="894"/>
      <w:outlineLvl w:val="6"/>
    </w:pPr>
    <w:rPr>
      <w:rFonts w:ascii="Times New Roman" w:eastAsia="仿宋_GB2312" w:hAnsi="Times New Roman" w:cs="仿宋_GB2312"/>
      <w:sz w:val="32"/>
      <w:szCs w:val="32"/>
    </w:rPr>
  </w:style>
  <w:style w:type="paragraph" w:styleId="8">
    <w:name w:val="heading 8"/>
    <w:next w:val="a1"/>
    <w:uiPriority w:val="9"/>
    <w:semiHidden/>
    <w:unhideWhenUsed/>
    <w:qFormat/>
    <w:pPr>
      <w:spacing w:line="560" w:lineRule="exact"/>
      <w:ind w:firstLineChars="200" w:firstLine="894"/>
      <w:outlineLvl w:val="7"/>
    </w:pPr>
    <w:rPr>
      <w:rFonts w:ascii="Times New Roman" w:eastAsia="仿宋_GB2312" w:hAnsi="Times New Roman" w:cs="仿宋_GB2312"/>
      <w:sz w:val="32"/>
      <w:szCs w:val="32"/>
    </w:rPr>
  </w:style>
  <w:style w:type="paragraph" w:styleId="9">
    <w:name w:val="heading 9"/>
    <w:next w:val="a1"/>
    <w:uiPriority w:val="9"/>
    <w:semiHidden/>
    <w:unhideWhenUsed/>
    <w:qFormat/>
    <w:pPr>
      <w:spacing w:line="560" w:lineRule="exact"/>
      <w:ind w:firstLineChars="200" w:firstLine="894"/>
      <w:outlineLvl w:val="8"/>
    </w:pPr>
    <w:rPr>
      <w:rFonts w:ascii="Times New Roman" w:eastAsia="仿宋_GB2312" w:hAnsi="Times New Roman" w:cs="仿宋_GB2312"/>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macro"/>
    <w:link w:val="a7"/>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paragraph" w:styleId="a2">
    <w:name w:val="Body Text"/>
    <w:basedOn w:val="a1"/>
    <w:link w:val="a8"/>
    <w:uiPriority w:val="99"/>
    <w:unhideWhenUsed/>
    <w:qFormat/>
    <w:pPr>
      <w:spacing w:line="560" w:lineRule="exact"/>
      <w:ind w:firstLineChars="200" w:firstLine="630"/>
      <w:jc w:val="both"/>
    </w:pPr>
    <w:rPr>
      <w:rFonts w:ascii="Times New Roman" w:hAnsi="Times New Roman" w:cs="仿宋_GB2312"/>
      <w:spacing w:val="-6"/>
      <w:sz w:val="32"/>
      <w:szCs w:val="32"/>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9">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3">
    <w:name w:val="List Number 3"/>
    <w:basedOn w:val="a1"/>
    <w:uiPriority w:val="99"/>
    <w:unhideWhenUsed/>
    <w:qFormat/>
    <w:pPr>
      <w:numPr>
        <w:numId w:val="5"/>
      </w:numPr>
      <w:contextualSpacing/>
    </w:pPr>
  </w:style>
  <w:style w:type="paragraph" w:styleId="22">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next w:val="a1"/>
    <w:uiPriority w:val="11"/>
    <w:qFormat/>
    <w:pPr>
      <w:spacing w:line="720" w:lineRule="exact"/>
      <w:jc w:val="center"/>
    </w:pPr>
    <w:rPr>
      <w:rFonts w:ascii="Times New Roman" w:eastAsia="仿宋_GB2312" w:hAnsi="Times New Roman" w:cs="仿宋_GB2312"/>
      <w:kern w:val="28"/>
      <w:sz w:val="32"/>
      <w:szCs w:val="32"/>
    </w:rPr>
  </w:style>
  <w:style w:type="paragraph" w:styleId="af0">
    <w:name w:val="List"/>
    <w:basedOn w:val="a1"/>
    <w:uiPriority w:val="99"/>
    <w:unhideWhenUsed/>
    <w:qFormat/>
    <w:pPr>
      <w:ind w:left="360" w:hanging="360"/>
      <w:contextualSpacing/>
    </w:pPr>
  </w:style>
  <w:style w:type="paragraph" w:styleId="23">
    <w:name w:val="Body Text 2"/>
    <w:basedOn w:val="a1"/>
    <w:link w:val="24"/>
    <w:uiPriority w:val="99"/>
    <w:unhideWhenUsed/>
    <w:qFormat/>
    <w:pPr>
      <w:spacing w:after="120" w:line="480" w:lineRule="auto"/>
    </w:pPr>
  </w:style>
  <w:style w:type="paragraph" w:styleId="25">
    <w:name w:val="List Continue 2"/>
    <w:basedOn w:val="a1"/>
    <w:uiPriority w:val="99"/>
    <w:unhideWhenUsed/>
    <w:qFormat/>
    <w:pPr>
      <w:spacing w:after="120"/>
      <w:ind w:left="720"/>
      <w:contextualSpacing/>
    </w:pPr>
  </w:style>
  <w:style w:type="paragraph" w:styleId="af1">
    <w:name w:val="Normal (Web)"/>
    <w:basedOn w:val="a1"/>
    <w:uiPriority w:val="99"/>
    <w:semiHidden/>
    <w:unhideWhenUsed/>
    <w:qFormat/>
    <w:pPr>
      <w:spacing w:beforeAutospacing="1" w:after="0" w:afterAutospacing="1"/>
    </w:pPr>
    <w:rPr>
      <w:rFonts w:cs="Times New Roman"/>
      <w:sz w:val="24"/>
      <w:lang w:eastAsia="zh-CN"/>
    </w:rPr>
  </w:style>
  <w:style w:type="paragraph" w:styleId="36">
    <w:name w:val="List Continue 3"/>
    <w:basedOn w:val="a1"/>
    <w:uiPriority w:val="99"/>
    <w:unhideWhenUsed/>
    <w:qFormat/>
    <w:pPr>
      <w:spacing w:after="120"/>
      <w:ind w:left="1080"/>
      <w:contextualSpacing/>
    </w:pPr>
  </w:style>
  <w:style w:type="paragraph" w:styleId="af2">
    <w:name w:val="Title"/>
    <w:next w:val="a1"/>
    <w:link w:val="af3"/>
    <w:uiPriority w:val="10"/>
    <w:qFormat/>
    <w:pPr>
      <w:spacing w:line="720" w:lineRule="exact"/>
      <w:jc w:val="center"/>
    </w:pPr>
    <w:rPr>
      <w:rFonts w:ascii="方正小标宋简体" w:eastAsia="方正小标宋简体" w:hAnsi="方正小标宋简体" w:cs="方正小标宋简体"/>
      <w:sz w:val="44"/>
      <w:szCs w:val="44"/>
    </w:rPr>
  </w:style>
  <w:style w:type="table" w:styleId="af4">
    <w:name w:val="Table Grid"/>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4"/>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4"/>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4"/>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4"/>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4"/>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4"/>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4"/>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4"/>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4"/>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4"/>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4"/>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4"/>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4"/>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4"/>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4"/>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4"/>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4"/>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4"/>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4"/>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0">
    <w:name w:val="Medium Shading 1"/>
    <w:basedOn w:val="a4"/>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4"/>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4"/>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4"/>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4"/>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4"/>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4"/>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4"/>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4"/>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4"/>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4"/>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4"/>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4"/>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4"/>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7">
    <w:name w:val="Medium List 2"/>
    <w:basedOn w:val="a4"/>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4"/>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4"/>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4"/>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4"/>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4"/>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4"/>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8">
    <w:name w:val="Medium Grid 2"/>
    <w:basedOn w:val="a4"/>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4"/>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4"/>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4"/>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4"/>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4"/>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4"/>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4"/>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4"/>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4"/>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4"/>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4"/>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4"/>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4"/>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4"/>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4"/>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4"/>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4"/>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4"/>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4"/>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4"/>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4"/>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4"/>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4"/>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4"/>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4"/>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4"/>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4"/>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4"/>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4"/>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4"/>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4"/>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4"/>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4"/>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3"/>
    <w:uiPriority w:val="22"/>
    <w:qFormat/>
    <w:rPr>
      <w:b/>
      <w:bCs/>
    </w:rPr>
  </w:style>
  <w:style w:type="character" w:styleId="afd">
    <w:name w:val="Emphasis"/>
    <w:basedOn w:val="a3"/>
    <w:uiPriority w:val="20"/>
    <w:qFormat/>
    <w:rPr>
      <w:i/>
      <w:iCs/>
    </w:rPr>
  </w:style>
  <w:style w:type="character" w:customStyle="1" w:styleId="ae">
    <w:name w:val="页眉 字符"/>
    <w:basedOn w:val="a3"/>
    <w:link w:val="ad"/>
    <w:uiPriority w:val="99"/>
    <w:qFormat/>
  </w:style>
  <w:style w:type="character" w:customStyle="1" w:styleId="ac">
    <w:name w:val="页脚 字符"/>
    <w:basedOn w:val="a3"/>
    <w:link w:val="ab"/>
    <w:uiPriority w:val="99"/>
    <w:qFormat/>
  </w:style>
  <w:style w:type="paragraph" w:styleId="afe">
    <w:name w:val="No Spacing"/>
    <w:uiPriority w:val="1"/>
    <w:qFormat/>
    <w:rPr>
      <w:rFonts w:asciiTheme="minorHAnsi" w:eastAsiaTheme="minorEastAsia" w:hAnsiTheme="minorHAnsi" w:cstheme="minorBidi"/>
      <w:sz w:val="22"/>
      <w:szCs w:val="22"/>
      <w:lang w:eastAsia="en-US"/>
    </w:rPr>
  </w:style>
  <w:style w:type="character" w:customStyle="1" w:styleId="Heading1Char">
    <w:name w:val="Heading 1 Char"/>
    <w:basedOn w:val="a3"/>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3"/>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3"/>
    <w:uiPriority w:val="9"/>
    <w:qFormat/>
    <w:rPr>
      <w:rFonts w:asciiTheme="majorHAnsi" w:eastAsiaTheme="majorEastAsia" w:hAnsiTheme="majorHAnsi" w:cstheme="majorBidi"/>
      <w:b/>
      <w:bCs/>
      <w:color w:val="4F81BD" w:themeColor="accent1"/>
    </w:rPr>
  </w:style>
  <w:style w:type="character" w:customStyle="1" w:styleId="af3">
    <w:name w:val="标题 字符"/>
    <w:link w:val="af2"/>
    <w:uiPriority w:val="10"/>
    <w:qFormat/>
    <w:rPr>
      <w:rFonts w:ascii="MS Gothic" w:eastAsia="MS Gothic" w:hAnsi="MS Gothic" w:cs="MS Gothic"/>
      <w:sz w:val="44"/>
      <w:szCs w:val="44"/>
      <w:lang w:val="zh-CN"/>
    </w:rPr>
  </w:style>
  <w:style w:type="character" w:customStyle="1" w:styleId="SubtitleChar">
    <w:name w:val="Subtitle Char"/>
    <w:basedOn w:val="a3"/>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8">
    <w:name w:val="正文文本 字符"/>
    <w:link w:val="a2"/>
    <w:uiPriority w:val="99"/>
    <w:qFormat/>
    <w:rPr>
      <w:rFonts w:ascii="Times New Roman" w:eastAsia="MS Mincho" w:hAnsi="Times New Roman" w:cs="MS Mincho"/>
      <w:spacing w:val="-6"/>
      <w:sz w:val="32"/>
      <w:szCs w:val="32"/>
    </w:rPr>
  </w:style>
  <w:style w:type="character" w:customStyle="1" w:styleId="24">
    <w:name w:val="正文文本 2 字符"/>
    <w:basedOn w:val="a3"/>
    <w:link w:val="23"/>
    <w:uiPriority w:val="99"/>
    <w:qFormat/>
  </w:style>
  <w:style w:type="character" w:customStyle="1" w:styleId="35">
    <w:name w:val="正文文本 3 字符"/>
    <w:basedOn w:val="a3"/>
    <w:link w:val="34"/>
    <w:uiPriority w:val="99"/>
    <w:qFormat/>
    <w:rPr>
      <w:sz w:val="16"/>
      <w:szCs w:val="16"/>
    </w:rPr>
  </w:style>
  <w:style w:type="character" w:customStyle="1" w:styleId="a7">
    <w:name w:val="宏文本 字符"/>
    <w:basedOn w:val="a3"/>
    <w:link w:val="a6"/>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3"/>
    <w:link w:val="aff0"/>
    <w:uiPriority w:val="29"/>
    <w:qFormat/>
    <w:rPr>
      <w:i/>
      <w:iCs/>
      <w:color w:val="000000" w:themeColor="text1"/>
    </w:rPr>
  </w:style>
  <w:style w:type="character" w:customStyle="1" w:styleId="Heading4Char">
    <w:name w:val="Heading 4 Char"/>
    <w:basedOn w:val="a3"/>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a3"/>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a3"/>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a3"/>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a3"/>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a3"/>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3"/>
    <w:link w:val="aff2"/>
    <w:uiPriority w:val="30"/>
    <w:qFormat/>
    <w:rPr>
      <w:b/>
      <w:bCs/>
      <w:i/>
      <w:iCs/>
      <w:color w:val="4F81BD" w:themeColor="accent1"/>
    </w:rPr>
  </w:style>
  <w:style w:type="character" w:customStyle="1" w:styleId="13">
    <w:name w:val="不明显强调1"/>
    <w:basedOn w:val="a3"/>
    <w:uiPriority w:val="19"/>
    <w:qFormat/>
    <w:rPr>
      <w:i/>
      <w:iCs/>
      <w:color w:val="7F7F7F" w:themeColor="text1" w:themeTint="80"/>
    </w:rPr>
  </w:style>
  <w:style w:type="character" w:customStyle="1" w:styleId="14">
    <w:name w:val="明显强调1"/>
    <w:basedOn w:val="a3"/>
    <w:uiPriority w:val="21"/>
    <w:qFormat/>
    <w:rPr>
      <w:b/>
      <w:bCs/>
      <w:i/>
      <w:iCs/>
      <w:color w:val="4F81BD" w:themeColor="accent1"/>
    </w:rPr>
  </w:style>
  <w:style w:type="character" w:customStyle="1" w:styleId="15">
    <w:name w:val="不明显参考1"/>
    <w:basedOn w:val="a3"/>
    <w:uiPriority w:val="31"/>
    <w:qFormat/>
    <w:rPr>
      <w:smallCaps/>
      <w:color w:val="C0504D" w:themeColor="accent2"/>
      <w:u w:val="single"/>
    </w:rPr>
  </w:style>
  <w:style w:type="character" w:customStyle="1" w:styleId="16">
    <w:name w:val="明显参考1"/>
    <w:basedOn w:val="a3"/>
    <w:uiPriority w:val="32"/>
    <w:qFormat/>
    <w:rPr>
      <w:b/>
      <w:bCs/>
      <w:smallCaps/>
      <w:color w:val="C0504D" w:themeColor="accent2"/>
      <w:spacing w:val="5"/>
      <w:u w:val="single"/>
    </w:rPr>
  </w:style>
  <w:style w:type="character" w:customStyle="1" w:styleId="17">
    <w:name w:val="书籍标题1"/>
    <w:basedOn w:val="a3"/>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character" w:customStyle="1" w:styleId="3Char">
    <w:name w:val="标题 3 Char"/>
    <w:uiPriority w:val="9"/>
    <w:qFormat/>
    <w:rPr>
      <w:rFonts w:ascii="Times New Roman" w:eastAsia="仿宋_GB2312" w:hAnsi="Times New Roman" w:cs="仿宋_GB2312"/>
      <w:sz w:val="32"/>
      <w:szCs w:val="32"/>
    </w:rPr>
  </w:style>
  <w:style w:type="character" w:customStyle="1" w:styleId="32">
    <w:name w:val="标题 3 字符"/>
    <w:link w:val="31"/>
    <w:uiPriority w:val="9"/>
    <w:qFormat/>
    <w:rPr>
      <w:rFonts w:ascii="Times New Roman" w:eastAsia="仿宋_GB2312" w:hAnsi="Times New Roman" w:cs="仿宋_GB2312"/>
      <w:sz w:val="32"/>
      <w:szCs w:val="32"/>
    </w:rPr>
  </w:style>
  <w:style w:type="paragraph" w:customStyle="1" w:styleId="FirstParagraph">
    <w:name w:val="First Paragraph"/>
    <w:basedOn w:val="a2"/>
    <w:next w:val="a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198da803-9706-45c4-af19-e5d701f1067e</errorID>
      <errorWord>培训资料和</errorWord>
      <group>L1_Word</group>
      <groupName>字词问题</groupName>
      <ability>L2_Typo</ability>
      <abilityName>字词错误</abilityName>
      <candidateList>
        <item>培训资料</item>
      </candidateList>
      <explain/>
      <paraID>77043831</paraID>
      <start>242</start>
      <end>247</end>
      <status>unmodified</status>
      <modifiedWord/>
      <trackRevisions>false</trackRevisions>
    </reviewItem>
    <reviewItem>
      <errorID>a256c84e-78a1-4637-8f86-30b49a81ae64</errorID>
      <errorWord>审查达到</errorWord>
      <group>L1_Grammar</group>
      <groupName>语法问题</groupName>
      <ability>L2_Grammar</ability>
      <abilityName>语法错误</abilityName>
      <candidateList>
        <item>审查</item>
      </candidateList>
      <explain/>
      <paraID>543D3707</paraID>
      <start>150</start>
      <end>154</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094C11EC-A4B7-469E-A454-357E13B23EB2}">
  <ds:schemaRefs>
    <ds:schemaRef ds:uri="http://schemas.wps.cn/vas-ai-hub/contract-review"/>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1048</Words>
  <Characters>5975</Characters>
  <Application>Microsoft Office Word</Application>
  <DocSecurity>0</DocSecurity>
  <Lines>49</Lines>
  <Paragraphs>14</Paragraphs>
  <ScaleCrop>false</ScaleCrop>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廖</cp:lastModifiedBy>
  <cp:revision>5</cp:revision>
  <dcterms:created xsi:type="dcterms:W3CDTF">2026-08-30T04:34:00Z</dcterms:created>
  <dcterms:modified xsi:type="dcterms:W3CDTF">2026-09-04T11:40:00Z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eyJoZGlkIjoiZjc1ODYzMDk5ODg3MmI0ZDQxZDY4MzYyZTQwZDZhYTIifQ==</vt:lpwstr>
  </property>
  <property fmtid="{D5CDD505-2E9C-101B-9397-08002B2CF9AE}" pid="3" name="KSOProductBuildVer">
    <vt:lpwstr>2052-12.1.0.28505</vt:lpwstr>
  </property>
  <property fmtid="{D5CDD505-2E9C-101B-9397-08002B2CF9AE}" pid="4" name="ICV">
    <vt:lpwstr>BEB05DDCA96C4A7883378CF86091DEF3_13</vt:lpwstr>
  </property>
</Properties>
</file>